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6E9D" w:rsidR="0086117D" w:rsidP="0086117D" w:rsidRDefault="0086117D" w14:paraId="60C535AD" w14:textId="77777777">
      <w:pPr>
        <w:pStyle w:val="Title"/>
        <w:pBdr>
          <w:bottom w:val="single" w:color="auto" w:sz="4" w:space="0"/>
          <w:right w:val="single" w:color="auto" w:sz="4" w:space="0"/>
        </w:pBdr>
        <w:shd w:val="pct95" w:color="auto" w:fill="FFFFFF"/>
        <w:rPr>
          <w:rFonts w:cs="Arial"/>
          <w:sz w:val="18"/>
          <w:szCs w:val="72"/>
        </w:rPr>
      </w:pPr>
      <w:r w:rsidRPr="00F96E9D">
        <w:rPr>
          <w:rFonts w:cs="Arial"/>
          <w:sz w:val="18"/>
          <w:szCs w:val="72"/>
        </w:rPr>
        <w:t>`</w:t>
      </w:r>
    </w:p>
    <w:p w:rsidRPr="005D1D97" w:rsidR="0086117D" w:rsidP="00992334" w:rsidRDefault="0086117D" w14:paraId="08A9176D" w14:textId="252DBE67">
      <w:pPr>
        <w:pStyle w:val="Title"/>
        <w:pBdr>
          <w:bottom w:val="single" w:color="auto" w:sz="4" w:space="0"/>
          <w:right w:val="single" w:color="auto" w:sz="4" w:space="0"/>
        </w:pBdr>
        <w:shd w:val="pct95" w:color="auto" w:fill="FFFFFF"/>
        <w:jc w:val="center"/>
        <w:rPr>
          <w:rFonts w:cs="Arial"/>
          <w:sz w:val="72"/>
          <w:szCs w:val="72"/>
          <w:u w:val="none"/>
        </w:rPr>
      </w:pPr>
      <w:r w:rsidRPr="005D1D97">
        <w:rPr>
          <w:rFonts w:cs="Arial"/>
          <w:sz w:val="72"/>
          <w:szCs w:val="72"/>
          <w:u w:val="none"/>
        </w:rPr>
        <w:t>Children’s Services</w:t>
      </w:r>
    </w:p>
    <w:p w:rsidR="0086117D" w:rsidP="0086117D" w:rsidRDefault="0086117D" w14:paraId="5A25AC9E" w14:textId="3352D5C0">
      <w:pPr>
        <w:jc w:val="center"/>
        <w:rPr>
          <w:rFonts w:cs="Arial"/>
          <w:b/>
          <w:sz w:val="36"/>
          <w:szCs w:val="36"/>
          <w:lang w:eastAsia="en-GB"/>
        </w:rPr>
      </w:pPr>
    </w:p>
    <w:p w:rsidR="00D13330" w:rsidP="0086117D" w:rsidRDefault="008965EB" w14:paraId="00CB24B6" w14:textId="323C3814">
      <w:pPr>
        <w:jc w:val="center"/>
        <w:rPr>
          <w:rFonts w:eastAsia="Calibri" w:cs="Arial"/>
          <w:b/>
          <w:sz w:val="32"/>
          <w:szCs w:val="32"/>
        </w:rPr>
      </w:pPr>
      <w:r>
        <w:rPr>
          <w:rFonts w:cs="Arial"/>
          <w:b/>
          <w:sz w:val="36"/>
          <w:szCs w:val="36"/>
          <w:lang w:eastAsia="en-GB"/>
        </w:rPr>
        <w:t>HERTFORDSHIRE’S FREE SCHOOL MEALS GUIDANCE: ELIGIBILITY CRITERIA AND SUPPORT FOR FAMILIES OF CHILDREN RECEIVING EDUCATION OTHER THAN AT SCHOOL (EOTAS)</w:t>
      </w:r>
    </w:p>
    <w:tbl>
      <w:tblPr>
        <w:tblW w:w="9214" w:type="dxa"/>
        <w:tblInd w:w="38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5245"/>
        <w:gridCol w:w="3969"/>
      </w:tblGrid>
      <w:tr w:rsidRPr="00F96E9D" w:rsidR="0086117D" w:rsidTr="008965EB" w14:paraId="100968DF" w14:textId="77777777">
        <w:tc>
          <w:tcPr>
            <w:tcW w:w="5245" w:type="dxa"/>
          </w:tcPr>
          <w:p w:rsidRPr="00F96E9D" w:rsidR="0086117D" w:rsidP="001E270E" w:rsidRDefault="0086117D" w14:paraId="725C10DF" w14:textId="77777777">
            <w:pPr>
              <w:rPr>
                <w:rFonts w:cs="Arial"/>
                <w:b/>
                <w:sz w:val="22"/>
              </w:rPr>
            </w:pPr>
          </w:p>
        </w:tc>
        <w:tc>
          <w:tcPr>
            <w:tcW w:w="3969" w:type="dxa"/>
          </w:tcPr>
          <w:p w:rsidRPr="00F96E9D" w:rsidR="0086117D" w:rsidP="001E270E" w:rsidRDefault="0086117D" w14:paraId="5100354B" w14:textId="77777777">
            <w:pPr>
              <w:rPr>
                <w:rFonts w:cs="Arial"/>
                <w:b/>
                <w:sz w:val="22"/>
              </w:rPr>
            </w:pPr>
          </w:p>
        </w:tc>
      </w:tr>
      <w:tr w:rsidRPr="00F96E9D" w:rsidR="0086117D" w:rsidTr="008965EB" w14:paraId="6121347D" w14:textId="77777777">
        <w:tc>
          <w:tcPr>
            <w:tcW w:w="5245" w:type="dxa"/>
          </w:tcPr>
          <w:p w:rsidRPr="0086117D" w:rsidR="0086117D" w:rsidP="001E270E" w:rsidRDefault="0086117D" w14:paraId="5408F8B2" w14:textId="77777777">
            <w:pPr>
              <w:rPr>
                <w:rFonts w:cs="Arial"/>
                <w:b/>
                <w:szCs w:val="24"/>
              </w:rPr>
            </w:pPr>
            <w:r w:rsidRPr="0086117D">
              <w:rPr>
                <w:rFonts w:cs="Arial"/>
                <w:b/>
                <w:szCs w:val="24"/>
              </w:rPr>
              <w:t>PUBLICATION SCHEDULE NUMBER:</w:t>
            </w:r>
          </w:p>
          <w:p w:rsidRPr="0086117D" w:rsidR="0086117D" w:rsidP="001E270E" w:rsidRDefault="0086117D" w14:paraId="77399BA7" w14:textId="77777777">
            <w:pPr>
              <w:rPr>
                <w:rFonts w:cs="Arial"/>
                <w:b/>
                <w:szCs w:val="24"/>
              </w:rPr>
            </w:pPr>
          </w:p>
        </w:tc>
        <w:tc>
          <w:tcPr>
            <w:tcW w:w="3969" w:type="dxa"/>
          </w:tcPr>
          <w:p w:rsidRPr="0086117D" w:rsidR="0086117D" w:rsidP="001E270E" w:rsidRDefault="005D1D97" w14:paraId="78155172" w14:textId="185DF83F">
            <w:pPr>
              <w:rPr>
                <w:rFonts w:cs="Arial"/>
                <w:b/>
                <w:szCs w:val="24"/>
              </w:rPr>
            </w:pPr>
            <w:r>
              <w:rPr>
                <w:rFonts w:cs="Arial"/>
                <w:b/>
                <w:szCs w:val="24"/>
              </w:rPr>
              <w:t>CS0603</w:t>
            </w:r>
          </w:p>
          <w:p w:rsidRPr="0086117D" w:rsidR="0086117D" w:rsidP="001E270E" w:rsidRDefault="0086117D" w14:paraId="64E28550" w14:textId="77777777">
            <w:pPr>
              <w:rPr>
                <w:rFonts w:cs="Arial"/>
                <w:b/>
                <w:szCs w:val="24"/>
              </w:rPr>
            </w:pPr>
          </w:p>
        </w:tc>
      </w:tr>
      <w:tr w:rsidRPr="00F96E9D" w:rsidR="0086117D" w:rsidTr="008965EB" w14:paraId="35612948" w14:textId="77777777">
        <w:tc>
          <w:tcPr>
            <w:tcW w:w="5245" w:type="dxa"/>
          </w:tcPr>
          <w:p w:rsidRPr="0086117D" w:rsidR="0086117D" w:rsidP="001E270E" w:rsidRDefault="0086117D" w14:paraId="39E0E9E1" w14:textId="39A94B27">
            <w:pPr>
              <w:rPr>
                <w:rFonts w:cs="Arial"/>
                <w:b/>
                <w:szCs w:val="24"/>
              </w:rPr>
            </w:pPr>
            <w:r w:rsidRPr="0086117D">
              <w:rPr>
                <w:rFonts w:cs="Arial"/>
                <w:b/>
                <w:szCs w:val="24"/>
              </w:rPr>
              <w:t xml:space="preserve">PUBLICATION DATE:    </w:t>
            </w:r>
            <w:r w:rsidR="0028125E">
              <w:rPr>
                <w:rFonts w:cs="Arial"/>
                <w:b/>
                <w:szCs w:val="24"/>
              </w:rPr>
              <w:t>November</w:t>
            </w:r>
            <w:r w:rsidR="005D1D97">
              <w:rPr>
                <w:rFonts w:cs="Arial"/>
                <w:b/>
                <w:szCs w:val="24"/>
              </w:rPr>
              <w:t xml:space="preserve"> 2025</w:t>
            </w:r>
          </w:p>
        </w:tc>
        <w:tc>
          <w:tcPr>
            <w:tcW w:w="3969" w:type="dxa"/>
          </w:tcPr>
          <w:p w:rsidRPr="0086117D" w:rsidR="0086117D" w:rsidP="001E270E" w:rsidRDefault="005D1D97" w14:paraId="04791D2E" w14:textId="31917B73">
            <w:pPr>
              <w:rPr>
                <w:rFonts w:cs="Arial"/>
                <w:b/>
                <w:szCs w:val="24"/>
              </w:rPr>
            </w:pPr>
            <w:r>
              <w:rPr>
                <w:rFonts w:cs="Arial"/>
                <w:b/>
                <w:szCs w:val="24"/>
              </w:rPr>
              <w:t xml:space="preserve">Issue No. </w:t>
            </w:r>
            <w:r w:rsidR="00243637">
              <w:rPr>
                <w:rFonts w:cs="Arial"/>
                <w:b/>
                <w:szCs w:val="24"/>
              </w:rPr>
              <w:t>2</w:t>
            </w:r>
          </w:p>
        </w:tc>
      </w:tr>
      <w:tr w:rsidRPr="00F96E9D" w:rsidR="0086117D" w:rsidTr="008965EB" w14:paraId="071F0C9E" w14:textId="77777777">
        <w:tc>
          <w:tcPr>
            <w:tcW w:w="5245" w:type="dxa"/>
          </w:tcPr>
          <w:p w:rsidRPr="0086117D" w:rsidR="0086117D" w:rsidP="001E270E" w:rsidRDefault="0086117D" w14:paraId="6B797224" w14:textId="77777777">
            <w:pPr>
              <w:rPr>
                <w:rFonts w:cs="Arial"/>
                <w:b/>
                <w:szCs w:val="24"/>
                <w:highlight w:val="yellow"/>
              </w:rPr>
            </w:pPr>
          </w:p>
          <w:p w:rsidRPr="0086117D" w:rsidR="0086117D" w:rsidP="001E270E" w:rsidRDefault="0086117D" w14:paraId="2D1CB7C1" w14:textId="77777777">
            <w:pPr>
              <w:rPr>
                <w:rFonts w:cs="Arial"/>
                <w:b/>
                <w:szCs w:val="24"/>
              </w:rPr>
            </w:pPr>
            <w:r w:rsidRPr="0086117D">
              <w:rPr>
                <w:rFonts w:cs="Arial"/>
                <w:b/>
                <w:szCs w:val="24"/>
              </w:rPr>
              <w:t>AUTHORISING OFFICER:</w:t>
            </w:r>
          </w:p>
          <w:p w:rsidRPr="0086117D" w:rsidR="0086117D" w:rsidP="001E270E" w:rsidRDefault="0086117D" w14:paraId="41C23783" w14:textId="77777777">
            <w:pPr>
              <w:rPr>
                <w:rFonts w:cs="Arial"/>
                <w:b/>
                <w:szCs w:val="24"/>
              </w:rPr>
            </w:pPr>
          </w:p>
          <w:p w:rsidR="0086117D" w:rsidP="0086117D" w:rsidRDefault="0086117D" w14:paraId="29676AB9" w14:textId="77777777">
            <w:pPr>
              <w:rPr>
                <w:rFonts w:cs="Arial"/>
                <w:b/>
                <w:szCs w:val="24"/>
              </w:rPr>
            </w:pPr>
            <w:r w:rsidRPr="0086117D">
              <w:rPr>
                <w:rFonts w:cs="Arial"/>
                <w:b/>
                <w:szCs w:val="24"/>
              </w:rPr>
              <w:t>AUTHORISING OFFICER’S SIGNATURE:</w:t>
            </w:r>
          </w:p>
          <w:p w:rsidRPr="0086117D" w:rsidR="0086117D" w:rsidP="0086117D" w:rsidRDefault="0086117D" w14:paraId="3B43A6D1" w14:textId="14AC9751">
            <w:pPr>
              <w:rPr>
                <w:rFonts w:cs="Arial"/>
                <w:b/>
                <w:szCs w:val="24"/>
                <w:highlight w:val="yellow"/>
              </w:rPr>
            </w:pPr>
          </w:p>
        </w:tc>
        <w:tc>
          <w:tcPr>
            <w:tcW w:w="3969" w:type="dxa"/>
          </w:tcPr>
          <w:p w:rsidR="0086117D" w:rsidP="001E270E" w:rsidRDefault="0086117D" w14:paraId="428D106B" w14:textId="77777777">
            <w:pPr>
              <w:tabs>
                <w:tab w:val="left" w:pos="1095"/>
              </w:tabs>
              <w:rPr>
                <w:rFonts w:cs="Arial"/>
                <w:b/>
                <w:szCs w:val="24"/>
              </w:rPr>
            </w:pPr>
          </w:p>
          <w:p w:rsidR="0086117D" w:rsidP="001E270E" w:rsidRDefault="005D1D97" w14:paraId="2D638169" w14:textId="6D3B3E64">
            <w:pPr>
              <w:tabs>
                <w:tab w:val="left" w:pos="1095"/>
              </w:tabs>
              <w:rPr>
                <w:rFonts w:cs="Arial"/>
                <w:b/>
                <w:szCs w:val="24"/>
              </w:rPr>
            </w:pPr>
            <w:r>
              <w:rPr>
                <w:rFonts w:cs="Arial"/>
                <w:b/>
                <w:szCs w:val="24"/>
              </w:rPr>
              <w:t>Tony Fitzpatrick, Director of Education</w:t>
            </w:r>
          </w:p>
          <w:p w:rsidRPr="0086117D" w:rsidR="0086117D" w:rsidP="0042378E" w:rsidRDefault="0042378E" w14:paraId="5D6858AF" w14:textId="5EB98AAB">
            <w:pPr>
              <w:tabs>
                <w:tab w:val="left" w:pos="1095"/>
              </w:tabs>
              <w:rPr>
                <w:rFonts w:cs="Arial"/>
                <w:b/>
                <w:szCs w:val="24"/>
                <w:highlight w:val="yellow"/>
              </w:rPr>
            </w:pPr>
            <w:r>
              <w:rPr>
                <w:noProof/>
              </w:rPr>
              <w:drawing>
                <wp:inline distT="0" distB="0" distL="0" distR="0" wp14:anchorId="0AA4CBF2" wp14:editId="6F30A740">
                  <wp:extent cx="1238250" cy="523875"/>
                  <wp:effectExtent l="0" t="0" r="0" b="9525"/>
                  <wp:docPr id="436924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24530"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523875"/>
                          </a:xfrm>
                          <a:prstGeom prst="rect">
                            <a:avLst/>
                          </a:prstGeom>
                          <a:noFill/>
                          <a:ln>
                            <a:noFill/>
                          </a:ln>
                        </pic:spPr>
                      </pic:pic>
                    </a:graphicData>
                  </a:graphic>
                </wp:inline>
              </w:drawing>
            </w:r>
          </w:p>
        </w:tc>
      </w:tr>
      <w:tr w:rsidRPr="00F96E9D" w:rsidR="0086117D" w:rsidTr="008965EB" w14:paraId="6A91BC23" w14:textId="77777777">
        <w:tc>
          <w:tcPr>
            <w:tcW w:w="5245" w:type="dxa"/>
          </w:tcPr>
          <w:p w:rsidRPr="0086117D" w:rsidR="0086117D" w:rsidP="001E270E" w:rsidRDefault="0086117D" w14:paraId="4D33B11C" w14:textId="77777777">
            <w:pPr>
              <w:rPr>
                <w:rFonts w:cs="Arial"/>
                <w:b/>
                <w:szCs w:val="24"/>
              </w:rPr>
            </w:pPr>
            <w:r w:rsidRPr="0086117D">
              <w:rPr>
                <w:rFonts w:cs="Arial"/>
                <w:b/>
                <w:szCs w:val="24"/>
              </w:rPr>
              <w:t>AUTHOR OF PUBLICATION:</w:t>
            </w:r>
          </w:p>
          <w:p w:rsidRPr="0086117D" w:rsidR="0086117D" w:rsidP="001E270E" w:rsidRDefault="0086117D" w14:paraId="531E635A" w14:textId="77777777">
            <w:pPr>
              <w:rPr>
                <w:rFonts w:cs="Arial"/>
                <w:b/>
                <w:szCs w:val="24"/>
              </w:rPr>
            </w:pPr>
          </w:p>
        </w:tc>
        <w:tc>
          <w:tcPr>
            <w:tcW w:w="3969" w:type="dxa"/>
          </w:tcPr>
          <w:p w:rsidRPr="0086117D" w:rsidR="0086117D" w:rsidP="0086117D" w:rsidRDefault="005D1D97" w14:paraId="2F233DD5" w14:textId="407197E7">
            <w:pPr>
              <w:tabs>
                <w:tab w:val="left" w:pos="1095"/>
              </w:tabs>
              <w:rPr>
                <w:rFonts w:cs="Arial"/>
                <w:b/>
                <w:szCs w:val="24"/>
              </w:rPr>
            </w:pPr>
            <w:r>
              <w:rPr>
                <w:rFonts w:cs="Arial"/>
                <w:b/>
                <w:szCs w:val="24"/>
              </w:rPr>
              <w:t>Richard Woodard</w:t>
            </w:r>
          </w:p>
          <w:p w:rsidRPr="0086117D" w:rsidR="0086117D" w:rsidP="001E270E" w:rsidRDefault="0086117D" w14:paraId="4FD647EA" w14:textId="097A2889">
            <w:pPr>
              <w:rPr>
                <w:rFonts w:cs="Arial"/>
                <w:b/>
                <w:szCs w:val="24"/>
              </w:rPr>
            </w:pPr>
          </w:p>
        </w:tc>
      </w:tr>
      <w:tr w:rsidRPr="00F96E9D" w:rsidR="0086117D" w:rsidTr="008965EB" w14:paraId="6A1F08EE" w14:textId="77777777">
        <w:tc>
          <w:tcPr>
            <w:tcW w:w="5245" w:type="dxa"/>
          </w:tcPr>
          <w:p w:rsidRPr="0086117D" w:rsidR="0086117D" w:rsidP="001E270E" w:rsidRDefault="0086117D" w14:paraId="2E7F4812" w14:textId="7F7611BF">
            <w:pPr>
              <w:rPr>
                <w:rFonts w:cs="Arial"/>
                <w:b/>
                <w:szCs w:val="24"/>
              </w:rPr>
            </w:pPr>
            <w:r w:rsidRPr="0086117D">
              <w:rPr>
                <w:rFonts w:cs="Arial"/>
                <w:b/>
                <w:szCs w:val="24"/>
              </w:rPr>
              <w:t>POST:</w:t>
            </w:r>
          </w:p>
        </w:tc>
        <w:tc>
          <w:tcPr>
            <w:tcW w:w="3969" w:type="dxa"/>
          </w:tcPr>
          <w:p w:rsidRPr="0086117D" w:rsidR="0086117D" w:rsidP="001E270E" w:rsidRDefault="0086117D" w14:paraId="6DDD9EB9" w14:textId="28090D95">
            <w:pPr>
              <w:rPr>
                <w:rFonts w:cs="Arial"/>
                <w:b/>
                <w:szCs w:val="24"/>
              </w:rPr>
            </w:pPr>
            <w:r w:rsidRPr="0086117D">
              <w:rPr>
                <w:rFonts w:cs="Arial"/>
                <w:b/>
                <w:szCs w:val="24"/>
              </w:rPr>
              <w:t>H</w:t>
            </w:r>
            <w:r w:rsidR="005D1D97">
              <w:rPr>
                <w:rFonts w:cs="Arial"/>
                <w:b/>
                <w:szCs w:val="24"/>
              </w:rPr>
              <w:t xml:space="preserve">ead of Access Inclusion and Alternative Provision </w:t>
            </w:r>
          </w:p>
        </w:tc>
      </w:tr>
      <w:tr w:rsidRPr="00F96E9D" w:rsidR="0086117D" w:rsidTr="008965EB" w14:paraId="286594A6" w14:textId="77777777">
        <w:tc>
          <w:tcPr>
            <w:tcW w:w="5245" w:type="dxa"/>
          </w:tcPr>
          <w:p w:rsidRPr="0086117D" w:rsidR="0086117D" w:rsidP="001E270E" w:rsidRDefault="0086117D" w14:paraId="43A677B0" w14:textId="77777777">
            <w:pPr>
              <w:rPr>
                <w:rFonts w:cs="Arial"/>
                <w:b/>
                <w:szCs w:val="24"/>
              </w:rPr>
            </w:pPr>
            <w:r w:rsidRPr="0086117D">
              <w:rPr>
                <w:rFonts w:cs="Arial"/>
                <w:b/>
                <w:szCs w:val="24"/>
              </w:rPr>
              <w:t xml:space="preserve">TEAM: </w:t>
            </w:r>
          </w:p>
          <w:p w:rsidRPr="0086117D" w:rsidR="0086117D" w:rsidP="001E270E" w:rsidRDefault="0086117D" w14:paraId="644A83FC" w14:textId="77777777">
            <w:pPr>
              <w:rPr>
                <w:rFonts w:cs="Arial"/>
                <w:b/>
                <w:szCs w:val="24"/>
              </w:rPr>
            </w:pPr>
          </w:p>
        </w:tc>
        <w:tc>
          <w:tcPr>
            <w:tcW w:w="3969" w:type="dxa"/>
          </w:tcPr>
          <w:p w:rsidRPr="0086117D" w:rsidR="0086117D" w:rsidP="001E270E" w:rsidRDefault="005D1D97" w14:paraId="19B64DB7" w14:textId="7917C769">
            <w:pPr>
              <w:rPr>
                <w:rFonts w:cs="Arial"/>
                <w:b/>
                <w:szCs w:val="24"/>
              </w:rPr>
            </w:pPr>
            <w:r>
              <w:rPr>
                <w:rFonts w:cs="Arial"/>
                <w:b/>
                <w:szCs w:val="24"/>
              </w:rPr>
              <w:t xml:space="preserve">Education Service </w:t>
            </w:r>
          </w:p>
          <w:p w:rsidRPr="0086117D" w:rsidR="0086117D" w:rsidP="001E270E" w:rsidRDefault="0086117D" w14:paraId="01D01FEE" w14:textId="77777777">
            <w:pPr>
              <w:rPr>
                <w:rFonts w:cs="Arial"/>
                <w:b/>
                <w:szCs w:val="24"/>
              </w:rPr>
            </w:pPr>
          </w:p>
        </w:tc>
      </w:tr>
      <w:tr w:rsidRPr="00F96E9D" w:rsidR="0086117D" w:rsidTr="008965EB" w14:paraId="4BC384C9" w14:textId="77777777">
        <w:tc>
          <w:tcPr>
            <w:tcW w:w="5245" w:type="dxa"/>
          </w:tcPr>
          <w:p w:rsidRPr="0086117D" w:rsidR="0086117D" w:rsidP="001E270E" w:rsidRDefault="0086117D" w14:paraId="5C047E12" w14:textId="77777777">
            <w:pPr>
              <w:rPr>
                <w:rFonts w:cs="Arial"/>
                <w:b/>
                <w:szCs w:val="24"/>
              </w:rPr>
            </w:pPr>
            <w:r w:rsidRPr="0086117D">
              <w:rPr>
                <w:rFonts w:cs="Arial"/>
                <w:b/>
                <w:szCs w:val="24"/>
              </w:rPr>
              <w:t xml:space="preserve">REVIEW DATE: </w:t>
            </w:r>
          </w:p>
          <w:p w:rsidRPr="0086117D" w:rsidR="0086117D" w:rsidP="001E270E" w:rsidRDefault="0086117D" w14:paraId="33655A3F" w14:textId="77777777">
            <w:pPr>
              <w:rPr>
                <w:rFonts w:cs="Arial"/>
                <w:b/>
                <w:szCs w:val="24"/>
              </w:rPr>
            </w:pPr>
          </w:p>
        </w:tc>
        <w:tc>
          <w:tcPr>
            <w:tcW w:w="3969" w:type="dxa"/>
          </w:tcPr>
          <w:p w:rsidRPr="0086117D" w:rsidR="0086117D" w:rsidP="001E270E" w:rsidRDefault="005D1D97" w14:paraId="5243F755" w14:textId="5F7D483B">
            <w:pPr>
              <w:rPr>
                <w:rFonts w:cs="Arial"/>
                <w:b/>
                <w:szCs w:val="24"/>
              </w:rPr>
            </w:pPr>
            <w:r>
              <w:rPr>
                <w:rFonts w:cs="Arial"/>
                <w:b/>
                <w:szCs w:val="24"/>
              </w:rPr>
              <w:t>August 202</w:t>
            </w:r>
            <w:r w:rsidR="0028125E">
              <w:rPr>
                <w:rFonts w:cs="Arial"/>
                <w:b/>
                <w:szCs w:val="24"/>
              </w:rPr>
              <w:t>6</w:t>
            </w:r>
          </w:p>
          <w:p w:rsidRPr="0086117D" w:rsidR="0086117D" w:rsidP="001E270E" w:rsidRDefault="0086117D" w14:paraId="1474468E" w14:textId="77777777">
            <w:pPr>
              <w:rPr>
                <w:rFonts w:cs="Arial"/>
                <w:b/>
                <w:szCs w:val="24"/>
              </w:rPr>
            </w:pPr>
          </w:p>
        </w:tc>
      </w:tr>
      <w:tr w:rsidRPr="00F96E9D" w:rsidR="0086117D" w:rsidTr="008965EB" w14:paraId="1F18AC34" w14:textId="77777777">
        <w:tc>
          <w:tcPr>
            <w:tcW w:w="5245" w:type="dxa"/>
          </w:tcPr>
          <w:p w:rsidRPr="0086117D" w:rsidR="0086117D" w:rsidP="001E270E" w:rsidRDefault="0086117D" w14:paraId="26C9ECA3" w14:textId="77777777">
            <w:pPr>
              <w:rPr>
                <w:rFonts w:cs="Arial"/>
                <w:b/>
                <w:szCs w:val="24"/>
              </w:rPr>
            </w:pPr>
            <w:r w:rsidRPr="0086117D">
              <w:rPr>
                <w:rFonts w:cs="Arial"/>
                <w:b/>
                <w:szCs w:val="24"/>
              </w:rPr>
              <w:t xml:space="preserve">TARGET AUDIENCE: </w:t>
            </w:r>
          </w:p>
          <w:p w:rsidRPr="0086117D" w:rsidR="0086117D" w:rsidP="001E270E" w:rsidRDefault="0086117D" w14:paraId="2B87E5FC" w14:textId="77777777">
            <w:pPr>
              <w:rPr>
                <w:rFonts w:cs="Arial"/>
                <w:b/>
                <w:szCs w:val="24"/>
              </w:rPr>
            </w:pPr>
          </w:p>
        </w:tc>
        <w:tc>
          <w:tcPr>
            <w:tcW w:w="3969" w:type="dxa"/>
          </w:tcPr>
          <w:p w:rsidRPr="0086117D" w:rsidR="0086117D" w:rsidP="001E270E" w:rsidRDefault="0086117D" w14:paraId="178EB3F0" w14:textId="4F1EB8BD">
            <w:pPr>
              <w:rPr>
                <w:rFonts w:cs="Arial"/>
                <w:b/>
                <w:szCs w:val="24"/>
              </w:rPr>
            </w:pPr>
            <w:r w:rsidRPr="0086117D">
              <w:rPr>
                <w:rFonts w:cs="Arial"/>
                <w:b/>
                <w:szCs w:val="24"/>
              </w:rPr>
              <w:t>A</w:t>
            </w:r>
            <w:r w:rsidR="005D1D97">
              <w:rPr>
                <w:rFonts w:cs="Arial"/>
                <w:b/>
                <w:szCs w:val="24"/>
              </w:rPr>
              <w:t xml:space="preserve">ll Schools and Families </w:t>
            </w:r>
          </w:p>
          <w:p w:rsidRPr="0086117D" w:rsidR="0086117D" w:rsidP="001E270E" w:rsidRDefault="0086117D" w14:paraId="5899CB4A" w14:textId="77777777">
            <w:pPr>
              <w:rPr>
                <w:rFonts w:cs="Arial"/>
                <w:b/>
                <w:szCs w:val="24"/>
              </w:rPr>
            </w:pPr>
          </w:p>
        </w:tc>
      </w:tr>
      <w:tr w:rsidRPr="00F96E9D" w:rsidR="0086117D" w:rsidTr="008965EB" w14:paraId="216978B0" w14:textId="77777777">
        <w:trPr>
          <w:cantSplit/>
        </w:trPr>
        <w:tc>
          <w:tcPr>
            <w:tcW w:w="9214" w:type="dxa"/>
            <w:gridSpan w:val="2"/>
          </w:tcPr>
          <w:p w:rsidRPr="0086117D" w:rsidR="0086117D" w:rsidP="001E270E" w:rsidRDefault="0086117D" w14:paraId="730BA944" w14:textId="52B40CE3">
            <w:pPr>
              <w:rPr>
                <w:rFonts w:cs="Arial"/>
                <w:b/>
                <w:szCs w:val="24"/>
              </w:rPr>
            </w:pPr>
            <w:r w:rsidRPr="0086117D">
              <w:rPr>
                <w:rFonts w:cs="Arial"/>
                <w:b/>
                <w:szCs w:val="24"/>
              </w:rPr>
              <w:t xml:space="preserve">PUBLISHED BY </w:t>
            </w:r>
            <w:r w:rsidRPr="0086117D">
              <w:rPr>
                <w:rFonts w:cs="Arial"/>
                <w:b/>
                <w:szCs w:val="24"/>
              </w:rPr>
              <w:tab/>
            </w:r>
            <w:r w:rsidRPr="0086117D">
              <w:rPr>
                <w:rFonts w:cs="Arial"/>
                <w:b/>
                <w:szCs w:val="24"/>
              </w:rPr>
              <w:tab/>
            </w:r>
            <w:r w:rsidRPr="0086117D">
              <w:rPr>
                <w:rFonts w:cs="Arial"/>
                <w:b/>
                <w:szCs w:val="24"/>
              </w:rPr>
              <w:tab/>
            </w:r>
            <w:r w:rsidRPr="0086117D">
              <w:rPr>
                <w:rFonts w:cs="Arial"/>
                <w:b/>
                <w:szCs w:val="24"/>
              </w:rPr>
              <w:tab/>
              <w:t xml:space="preserve">              </w:t>
            </w:r>
            <w:r w:rsidR="005D1D97">
              <w:rPr>
                <w:rFonts w:cs="Arial"/>
                <w:b/>
                <w:szCs w:val="24"/>
              </w:rPr>
              <w:t xml:space="preserve">Children’s Services </w:t>
            </w:r>
          </w:p>
        </w:tc>
      </w:tr>
    </w:tbl>
    <w:p w:rsidR="0086117D" w:rsidP="0086117D" w:rsidRDefault="0086117D" w14:paraId="6647A977" w14:textId="77777777">
      <w:pPr>
        <w:rPr>
          <w:rFonts w:eastAsia="Calibri" w:cs="Arial"/>
          <w:b/>
        </w:rPr>
      </w:pPr>
      <w:r w:rsidRPr="00F96E9D">
        <w:rPr>
          <w:rFonts w:eastAsia="Calibri" w:cs="Arial"/>
          <w:b/>
          <w:noProof/>
        </w:rPr>
        <w:lastRenderedPageBreak/>
        <w:drawing>
          <wp:inline distT="0" distB="0" distL="0" distR="0" wp14:anchorId="5096A3F1" wp14:editId="3E9F5EFE">
            <wp:extent cx="1651000" cy="129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1000" cy="1295400"/>
                    </a:xfrm>
                    <a:prstGeom prst="rect">
                      <a:avLst/>
                    </a:prstGeom>
                    <a:noFill/>
                    <a:ln>
                      <a:noFill/>
                    </a:ln>
                  </pic:spPr>
                </pic:pic>
              </a:graphicData>
            </a:graphic>
          </wp:inline>
        </w:drawing>
      </w:r>
    </w:p>
    <w:p w:rsidRPr="009012AF" w:rsidR="0086117D" w:rsidP="0086117D" w:rsidRDefault="0086117D" w14:paraId="15BDB836" w14:textId="6F0F5DF2">
      <w:pPr>
        <w:rPr>
          <w:rFonts w:cs="Arial"/>
          <w:szCs w:val="24"/>
        </w:rPr>
      </w:pPr>
    </w:p>
    <w:p w:rsidR="0086117D" w:rsidP="007D3468" w:rsidRDefault="0086117D" w14:paraId="2AC2658B" w14:textId="4959D8E3">
      <w:pPr>
        <w:shd w:val="clear" w:color="auto" w:fill="FFFFFF"/>
        <w:spacing w:before="180" w:after="0" w:line="240" w:lineRule="auto"/>
        <w:outlineLvl w:val="2"/>
        <w:rPr>
          <w:rFonts w:ascii="Roboto" w:hAnsi="Roboto" w:eastAsia="Times New Roman" w:cs="Times New Roman"/>
          <w:b/>
          <w:bCs/>
          <w:color w:val="111111"/>
          <w:kern w:val="0"/>
          <w:sz w:val="27"/>
          <w:szCs w:val="27"/>
          <w:lang w:eastAsia="en-GB"/>
          <w14:ligatures w14:val="none"/>
        </w:rPr>
      </w:pPr>
      <w:r>
        <w:rPr>
          <w:rFonts w:ascii="Roboto" w:hAnsi="Roboto" w:eastAsia="Times New Roman" w:cs="Times New Roman"/>
          <w:b/>
          <w:bCs/>
          <w:color w:val="111111"/>
          <w:kern w:val="0"/>
          <w:sz w:val="27"/>
          <w:szCs w:val="27"/>
          <w:lang w:eastAsia="en-GB"/>
          <w14:ligatures w14:val="none"/>
        </w:rPr>
        <w:t xml:space="preserve">Hertfordshire County Council Guidance </w:t>
      </w:r>
      <w:r w:rsidR="00021BBD">
        <w:rPr>
          <w:rFonts w:ascii="Roboto" w:hAnsi="Roboto" w:eastAsia="Times New Roman" w:cs="Times New Roman"/>
          <w:b/>
          <w:bCs/>
          <w:color w:val="111111"/>
          <w:kern w:val="0"/>
          <w:sz w:val="27"/>
          <w:szCs w:val="27"/>
          <w:lang w:eastAsia="en-GB"/>
          <w14:ligatures w14:val="none"/>
        </w:rPr>
        <w:t>on</w:t>
      </w:r>
      <w:r>
        <w:rPr>
          <w:rFonts w:ascii="Roboto" w:hAnsi="Roboto" w:eastAsia="Times New Roman" w:cs="Times New Roman"/>
          <w:b/>
          <w:bCs/>
          <w:color w:val="111111"/>
          <w:kern w:val="0"/>
          <w:sz w:val="27"/>
          <w:szCs w:val="27"/>
          <w:lang w:eastAsia="en-GB"/>
          <w14:ligatures w14:val="none"/>
        </w:rPr>
        <w:t xml:space="preserve"> Free School Meals </w:t>
      </w:r>
    </w:p>
    <w:p w:rsidR="0086117D" w:rsidP="0086117D" w:rsidRDefault="0086117D" w14:paraId="32193988" w14:textId="77777777">
      <w:pPr>
        <w:rPr>
          <w:rFonts w:cs="Arial"/>
          <w:b/>
        </w:rPr>
      </w:pPr>
    </w:p>
    <w:p w:rsidR="006F7A60" w:rsidP="006F7A60" w:rsidRDefault="006F7A60" w14:paraId="1D23A802" w14:textId="31902DC7">
      <w:pPr>
        <w:pStyle w:val="Heading1"/>
      </w:pPr>
      <w:r w:rsidRPr="006F7A60">
        <w:t>W</w:t>
      </w:r>
      <w:r>
        <w:t>hat legislation does this guidance refer to</w:t>
      </w:r>
      <w:r w:rsidRPr="006F7A60">
        <w:t>?</w:t>
      </w:r>
    </w:p>
    <w:p w:rsidRPr="006F7A60" w:rsidR="006F7A60" w:rsidP="006F7A60" w:rsidRDefault="006F7A60" w14:paraId="6CD6CD65" w14:textId="31B81BAB">
      <w:pPr>
        <w:pStyle w:val="ListParagraph"/>
        <w:numPr>
          <w:ilvl w:val="0"/>
          <w:numId w:val="8"/>
        </w:numPr>
        <w:rPr>
          <w:rFonts w:cs="Arial"/>
          <w:szCs w:val="24"/>
        </w:rPr>
      </w:pPr>
      <w:r w:rsidRPr="006F7A60">
        <w:rPr>
          <w:rFonts w:cs="Arial"/>
          <w:szCs w:val="24"/>
        </w:rPr>
        <w:t>The Education Act 1996</w:t>
      </w:r>
    </w:p>
    <w:p w:rsidRPr="006F7A60" w:rsidR="006F7A60" w:rsidP="006F7A60" w:rsidRDefault="006F7A60" w14:paraId="4653716C" w14:textId="2A500EF4">
      <w:pPr>
        <w:pStyle w:val="ListParagraph"/>
        <w:numPr>
          <w:ilvl w:val="0"/>
          <w:numId w:val="8"/>
        </w:numPr>
        <w:rPr>
          <w:rFonts w:cs="Arial"/>
          <w:szCs w:val="24"/>
        </w:rPr>
      </w:pPr>
      <w:r w:rsidRPr="006F7A60">
        <w:rPr>
          <w:rFonts w:cs="Arial"/>
          <w:szCs w:val="24"/>
        </w:rPr>
        <w:t>The Welfare Reform Ac 2012</w:t>
      </w:r>
    </w:p>
    <w:p w:rsidR="006F7A60" w:rsidP="006F7A60" w:rsidRDefault="006F7A60" w14:paraId="155C133D" w14:textId="7476973F">
      <w:pPr>
        <w:pStyle w:val="ListParagraph"/>
        <w:numPr>
          <w:ilvl w:val="0"/>
          <w:numId w:val="8"/>
        </w:numPr>
        <w:rPr>
          <w:rFonts w:cs="Arial"/>
          <w:szCs w:val="24"/>
        </w:rPr>
      </w:pPr>
      <w:r w:rsidRPr="006F7A60">
        <w:rPr>
          <w:rFonts w:cs="Arial"/>
          <w:szCs w:val="24"/>
        </w:rPr>
        <w:t>Children and Families Act 2014</w:t>
      </w:r>
    </w:p>
    <w:p w:rsidRPr="00B53493" w:rsidR="00B53493" w:rsidP="00B53493" w:rsidRDefault="00B53493" w14:paraId="78EA83AC" w14:textId="4C01EE36">
      <w:pPr>
        <w:rPr>
          <w:rFonts w:cs="Arial"/>
          <w:szCs w:val="24"/>
        </w:rPr>
      </w:pPr>
      <w:r>
        <w:t xml:space="preserve">And the non-statutory guidance published by the DfE </w:t>
      </w:r>
      <w:hyperlink w:history="1" r:id="rId13">
        <w:r>
          <w:rPr>
            <w:rStyle w:val="Hyperlink"/>
          </w:rPr>
          <w:t>Free school meals (publishing.service.gov.uk)</w:t>
        </w:r>
      </w:hyperlink>
      <w:r>
        <w:t xml:space="preserve"> (March 2024).</w:t>
      </w:r>
    </w:p>
    <w:p w:rsidRPr="006F7A60" w:rsidR="0086117D" w:rsidP="006F7A60" w:rsidRDefault="0086117D" w14:paraId="3C9FFFA7" w14:textId="011C758C">
      <w:pPr>
        <w:pStyle w:val="Heading1"/>
        <w:rPr>
          <w:b w:val="0"/>
        </w:rPr>
      </w:pPr>
      <w:r w:rsidRPr="006F7A60">
        <w:t>Who is this guidance for?</w:t>
      </w:r>
    </w:p>
    <w:p w:rsidRPr="0086117D" w:rsidR="0086117D" w:rsidP="0086117D" w:rsidRDefault="0086117D" w14:paraId="4D403A1E" w14:textId="50959E4A">
      <w:pPr>
        <w:pStyle w:val="ListParagraph"/>
        <w:numPr>
          <w:ilvl w:val="0"/>
          <w:numId w:val="7"/>
        </w:numPr>
        <w:shd w:val="clear" w:color="auto" w:fill="FFFFFF"/>
        <w:spacing w:before="180" w:after="0" w:line="240" w:lineRule="auto"/>
        <w:outlineLvl w:val="2"/>
        <w:rPr>
          <w:rFonts w:eastAsia="Times New Roman" w:cs="Arial"/>
          <w:color w:val="111111"/>
          <w:kern w:val="0"/>
          <w:szCs w:val="24"/>
          <w:lang w:eastAsia="en-GB"/>
          <w14:ligatures w14:val="none"/>
        </w:rPr>
      </w:pPr>
      <w:r w:rsidRPr="0086117D">
        <w:rPr>
          <w:rFonts w:eastAsia="Times New Roman" w:cs="Arial"/>
          <w:color w:val="111111"/>
          <w:kern w:val="0"/>
          <w:szCs w:val="24"/>
          <w:lang w:eastAsia="en-GB"/>
          <w14:ligatures w14:val="none"/>
        </w:rPr>
        <w:t>Local Authority</w:t>
      </w:r>
    </w:p>
    <w:p w:rsidRPr="0086117D" w:rsidR="0086117D" w:rsidP="0086117D" w:rsidRDefault="0086117D" w14:paraId="1C43B845" w14:textId="4722F245">
      <w:pPr>
        <w:pStyle w:val="ListParagraph"/>
        <w:numPr>
          <w:ilvl w:val="0"/>
          <w:numId w:val="7"/>
        </w:numPr>
        <w:shd w:val="clear" w:color="auto" w:fill="FFFFFF"/>
        <w:spacing w:before="180" w:after="0" w:line="240" w:lineRule="auto"/>
        <w:outlineLvl w:val="2"/>
        <w:rPr>
          <w:rFonts w:eastAsia="Times New Roman" w:cs="Arial"/>
          <w:color w:val="111111"/>
          <w:kern w:val="0"/>
          <w:szCs w:val="24"/>
          <w:lang w:eastAsia="en-GB"/>
          <w14:ligatures w14:val="none"/>
        </w:rPr>
      </w:pPr>
      <w:r w:rsidRPr="0086117D">
        <w:rPr>
          <w:rFonts w:eastAsia="Times New Roman" w:cs="Arial"/>
          <w:color w:val="111111"/>
          <w:kern w:val="0"/>
          <w:szCs w:val="24"/>
          <w:lang w:eastAsia="en-GB"/>
          <w14:ligatures w14:val="none"/>
        </w:rPr>
        <w:t>School leaders, school staff and governing bodies in al maintained schools, academies and free schools.</w:t>
      </w:r>
    </w:p>
    <w:p w:rsidRPr="00BD00BF" w:rsidR="00BD00BF" w:rsidP="00BD00BF" w:rsidRDefault="00BD00BF" w14:paraId="5EA3682E" w14:textId="77777777">
      <w:pPr>
        <w:pStyle w:val="Heading1"/>
      </w:pPr>
      <w:r w:rsidRPr="00BD00BF">
        <w:t xml:space="preserve">Main points </w:t>
      </w:r>
    </w:p>
    <w:p w:rsidRPr="0028125E" w:rsidR="00BD00BF" w:rsidP="0028125E" w:rsidRDefault="00BD00BF" w14:paraId="69A22060" w14:textId="502FC089">
      <w:pPr>
        <w:pStyle w:val="ListParagraph"/>
        <w:numPr>
          <w:ilvl w:val="0"/>
          <w:numId w:val="26"/>
        </w:numPr>
        <w:shd w:val="clear" w:color="auto" w:fill="FFFFFF"/>
        <w:spacing w:before="180" w:after="0" w:line="240" w:lineRule="auto"/>
        <w:ind w:left="709" w:hanging="425"/>
        <w:outlineLvl w:val="2"/>
        <w:rPr>
          <w:rFonts w:cs="Arial"/>
          <w:szCs w:val="24"/>
        </w:rPr>
      </w:pPr>
      <w:r w:rsidRPr="0028125E">
        <w:rPr>
          <w:rFonts w:cs="Arial"/>
          <w:szCs w:val="24"/>
        </w:rPr>
        <w:t>The Education Act 1996 requires maintained schools and academies (including free schools) to provide free school meals to disadvantaged pupils</w:t>
      </w:r>
      <w:r w:rsidRPr="0028125E" w:rsidR="00654927">
        <w:rPr>
          <w:rFonts w:cs="Arial"/>
          <w:szCs w:val="24"/>
        </w:rPr>
        <w:t>, who meet the criteria.</w:t>
      </w:r>
      <w:r w:rsidRPr="0028125E">
        <w:rPr>
          <w:rFonts w:cs="Arial"/>
          <w:szCs w:val="24"/>
        </w:rPr>
        <w:t xml:space="preserve"> </w:t>
      </w:r>
    </w:p>
    <w:p w:rsidR="0028125E" w:rsidP="0028125E" w:rsidRDefault="0028125E" w14:paraId="0B9450F1" w14:textId="2C7ECD89">
      <w:pPr>
        <w:pStyle w:val="NormalWeb"/>
        <w:numPr>
          <w:ilvl w:val="0"/>
          <w:numId w:val="25"/>
        </w:numPr>
        <w:contextualSpacing/>
        <w:rPr>
          <w:rFonts w:ascii="Arial" w:hAnsi="Arial" w:cs="Arial"/>
          <w:color w:val="000000"/>
        </w:rPr>
      </w:pPr>
      <w:r w:rsidRPr="0028125E">
        <w:rPr>
          <w:rFonts w:ascii="Arial" w:hAnsi="Arial" w:cs="Arial"/>
          <w:color w:val="000000"/>
        </w:rPr>
        <w:t>Transitional protections were initially enacted with an end date of March 2022, the date the rollout of Universal Credit was due to end. When the end date moved to March 2023 the Government extended the protections in line with this date. As the rollout is continuing, the end date for transitional protections has been further extended to the end of the school Year July 2026</w:t>
      </w:r>
      <w:r>
        <w:rPr>
          <w:rFonts w:ascii="Arial" w:hAnsi="Arial" w:cs="Arial"/>
          <w:color w:val="000000"/>
        </w:rPr>
        <w:t>.</w:t>
      </w:r>
    </w:p>
    <w:p w:rsidR="0028125E" w:rsidP="0028125E" w:rsidRDefault="0028125E" w14:paraId="5C985C39" w14:textId="77777777">
      <w:pPr>
        <w:pStyle w:val="NormalWeb"/>
        <w:ind w:left="720"/>
        <w:contextualSpacing/>
        <w:rPr>
          <w:rFonts w:ascii="Arial" w:hAnsi="Arial" w:cs="Arial"/>
          <w:color w:val="000000"/>
        </w:rPr>
      </w:pPr>
    </w:p>
    <w:p w:rsidR="0028125E" w:rsidP="0028125E" w:rsidRDefault="0028125E" w14:paraId="7D1E5B43" w14:textId="5C16EC6B">
      <w:pPr>
        <w:pStyle w:val="NormalWeb"/>
        <w:numPr>
          <w:ilvl w:val="0"/>
          <w:numId w:val="25"/>
        </w:numPr>
        <w:contextualSpacing/>
        <w:rPr>
          <w:rFonts w:ascii="Arial" w:hAnsi="Arial" w:cs="Arial"/>
          <w:color w:val="000000"/>
        </w:rPr>
      </w:pPr>
      <w:r w:rsidRPr="0028125E">
        <w:rPr>
          <w:rFonts w:ascii="Arial" w:hAnsi="Arial" w:cs="Arial"/>
          <w:color w:val="000000"/>
        </w:rPr>
        <w:t>This means that pupils who were eligible on 1 April 2018, or who became eligible since then, continue to receive free meals, even if their household is no longer eligible under the benefits/low-earnings criteria, up until July 2026</w:t>
      </w:r>
      <w:r>
        <w:rPr>
          <w:rFonts w:ascii="Arial" w:hAnsi="Arial" w:cs="Arial"/>
          <w:color w:val="000000"/>
        </w:rPr>
        <w:t>.</w:t>
      </w:r>
    </w:p>
    <w:p w:rsidRPr="0028125E" w:rsidR="0028125E" w:rsidP="0028125E" w:rsidRDefault="0028125E" w14:paraId="0E7B8620" w14:textId="77777777">
      <w:pPr>
        <w:pStyle w:val="NormalWeb"/>
        <w:ind w:left="720"/>
        <w:contextualSpacing/>
        <w:rPr>
          <w:rFonts w:ascii="Arial" w:hAnsi="Arial" w:cs="Arial"/>
          <w:color w:val="000000"/>
        </w:rPr>
      </w:pPr>
    </w:p>
    <w:p w:rsidRPr="0028125E" w:rsidR="0028125E" w:rsidP="0028125E" w:rsidRDefault="0028125E" w14:paraId="10A00457" w14:textId="77777777">
      <w:pPr>
        <w:pStyle w:val="NormalWeb"/>
        <w:numPr>
          <w:ilvl w:val="0"/>
          <w:numId w:val="25"/>
        </w:numPr>
        <w:contextualSpacing/>
        <w:rPr>
          <w:rFonts w:ascii="Arial" w:hAnsi="Arial" w:cs="Arial"/>
          <w:color w:val="000000"/>
        </w:rPr>
      </w:pPr>
      <w:r w:rsidRPr="0028125E">
        <w:rPr>
          <w:rFonts w:ascii="Arial" w:hAnsi="Arial" w:cs="Arial"/>
          <w:color w:val="000000"/>
        </w:rPr>
        <w:t>As from school year commencing September 2026, transitional protection will no longer apply for any pupil. Changes in eligibility have been announced, and these changes will be confirmed Spring 2026.</w:t>
      </w:r>
    </w:p>
    <w:p w:rsidR="00BD00BF" w:rsidP="0028125E" w:rsidRDefault="00BD00BF" w14:paraId="215E2003" w14:textId="65D33FC4">
      <w:pPr>
        <w:shd w:val="clear" w:color="auto" w:fill="FFFFFF"/>
        <w:spacing w:before="180" w:after="0" w:line="240" w:lineRule="auto"/>
        <w:ind w:left="709" w:hanging="425"/>
        <w:outlineLvl w:val="2"/>
        <w:rPr>
          <w:rFonts w:cs="Arial"/>
          <w:szCs w:val="24"/>
        </w:rPr>
      </w:pPr>
    </w:p>
    <w:p w:rsidR="00BD00BF" w:rsidP="00BD00BF" w:rsidRDefault="00BD00BF" w14:paraId="5DFA7F7F" w14:textId="77777777">
      <w:pPr>
        <w:pStyle w:val="Heading1"/>
      </w:pPr>
      <w:r>
        <w:lastRenderedPageBreak/>
        <w:t xml:space="preserve">Eligibility criteria for free school meals </w:t>
      </w:r>
    </w:p>
    <w:p w:rsidR="00BD00BF" w:rsidP="00BD00BF" w:rsidRDefault="00BD00BF" w14:paraId="2485985F" w14:textId="77777777">
      <w:pPr>
        <w:shd w:val="clear" w:color="auto" w:fill="FFFFFF"/>
        <w:spacing w:before="180" w:after="0" w:line="240" w:lineRule="auto"/>
        <w:ind w:left="284"/>
        <w:outlineLvl w:val="2"/>
      </w:pPr>
      <w:r>
        <w:t xml:space="preserve">Section 512 of the Education Act 1996, as amended, places a duty on maintained schools, academies and free schools to provide free school meals to pupils of all ages that meet the criteria. </w:t>
      </w:r>
    </w:p>
    <w:p w:rsidR="005D1D97" w:rsidRDefault="005D1D97" w14:paraId="7D8E7FD6" w14:textId="77777777">
      <w:pPr>
        <w:rPr>
          <w:rFonts w:eastAsiaTheme="majorEastAsia" w:cstheme="majorBidi"/>
          <w:b/>
          <w:sz w:val="28"/>
          <w:szCs w:val="32"/>
        </w:rPr>
      </w:pPr>
      <w:r>
        <w:br w:type="page"/>
      </w:r>
    </w:p>
    <w:p w:rsidRPr="00BD00BF" w:rsidR="00BD00BF" w:rsidP="00BD00BF" w:rsidRDefault="00BD00BF" w14:paraId="2F23A670" w14:textId="030BFA50">
      <w:pPr>
        <w:pStyle w:val="Heading1"/>
      </w:pPr>
      <w:r w:rsidRPr="00BD00BF">
        <w:lastRenderedPageBreak/>
        <w:t>Who is eligible for free school meals?</w:t>
      </w:r>
    </w:p>
    <w:p w:rsidR="00BD00BF" w:rsidP="00BD00BF" w:rsidRDefault="00BD00BF" w14:paraId="300489CC" w14:textId="379CAFBD">
      <w:pPr>
        <w:shd w:val="clear" w:color="auto" w:fill="FFFFFF"/>
        <w:spacing w:before="180" w:after="0" w:line="240" w:lineRule="auto"/>
        <w:ind w:left="284"/>
        <w:outlineLvl w:val="2"/>
      </w:pPr>
      <w:r>
        <w:t xml:space="preserve">Free school meals are available to pupils in receipt of, or whose parents are in receipt of, one or more of the following benefits: </w:t>
      </w:r>
    </w:p>
    <w:p w:rsidR="00B53493" w:rsidP="00BD00BF" w:rsidRDefault="00BD00BF" w14:paraId="0C16B5DF" w14:textId="110EC127">
      <w:pPr>
        <w:shd w:val="clear" w:color="auto" w:fill="FFFFFF"/>
        <w:spacing w:before="180" w:after="0" w:line="240" w:lineRule="auto"/>
        <w:ind w:left="709" w:hanging="425"/>
        <w:outlineLvl w:val="2"/>
      </w:pPr>
      <w:r>
        <w:t xml:space="preserve">• </w:t>
      </w:r>
      <w:r w:rsidR="00B53493">
        <w:tab/>
      </w:r>
      <w:r>
        <w:t xml:space="preserve">Universal Credit (provided you have an annual net earned income of no more than £7,400, as assessed by earnings from up to three of your most recent assessment periods) </w:t>
      </w:r>
    </w:p>
    <w:p w:rsidR="00B53493" w:rsidP="00BD00BF" w:rsidRDefault="00BD00BF" w14:paraId="3A089A78" w14:textId="77777777">
      <w:pPr>
        <w:shd w:val="clear" w:color="auto" w:fill="FFFFFF"/>
        <w:spacing w:before="180" w:after="0" w:line="240" w:lineRule="auto"/>
        <w:ind w:left="709" w:hanging="425"/>
        <w:outlineLvl w:val="2"/>
      </w:pPr>
      <w:r>
        <w:t xml:space="preserve">• </w:t>
      </w:r>
      <w:r w:rsidR="00B53493">
        <w:tab/>
      </w:r>
      <w:r>
        <w:t xml:space="preserve">Income Support </w:t>
      </w:r>
    </w:p>
    <w:p w:rsidR="00B53493" w:rsidP="00BD00BF" w:rsidRDefault="00BD00BF" w14:paraId="20C0C4F6" w14:textId="771ACDCC">
      <w:pPr>
        <w:shd w:val="clear" w:color="auto" w:fill="FFFFFF"/>
        <w:spacing w:before="180" w:after="0" w:line="240" w:lineRule="auto"/>
        <w:ind w:left="709" w:hanging="425"/>
        <w:outlineLvl w:val="2"/>
      </w:pPr>
      <w:r>
        <w:t xml:space="preserve">• </w:t>
      </w:r>
      <w:r w:rsidR="00B53493">
        <w:tab/>
      </w:r>
      <w:r>
        <w:t xml:space="preserve">Income-based Jobseeker’s Allowance </w:t>
      </w:r>
    </w:p>
    <w:p w:rsidR="00B53493" w:rsidP="00BD00BF" w:rsidRDefault="00BD00BF" w14:paraId="1FEC327B" w14:textId="785781F7">
      <w:pPr>
        <w:shd w:val="clear" w:color="auto" w:fill="FFFFFF"/>
        <w:spacing w:before="180" w:after="0" w:line="240" w:lineRule="auto"/>
        <w:ind w:left="709" w:hanging="425"/>
        <w:outlineLvl w:val="2"/>
      </w:pPr>
      <w:r>
        <w:t xml:space="preserve">• </w:t>
      </w:r>
      <w:r w:rsidR="00B53493">
        <w:tab/>
      </w:r>
      <w:r>
        <w:t xml:space="preserve">Income-related Employment and Support Allowance </w:t>
      </w:r>
    </w:p>
    <w:p w:rsidR="00B53493" w:rsidP="00BD00BF" w:rsidRDefault="00BD00BF" w14:paraId="580A21AE" w14:textId="5021DDA3">
      <w:pPr>
        <w:shd w:val="clear" w:color="auto" w:fill="FFFFFF"/>
        <w:spacing w:before="180" w:after="0" w:line="240" w:lineRule="auto"/>
        <w:ind w:left="709" w:hanging="425"/>
        <w:outlineLvl w:val="2"/>
      </w:pPr>
      <w:r>
        <w:t xml:space="preserve">• </w:t>
      </w:r>
      <w:r w:rsidR="00B53493">
        <w:tab/>
      </w:r>
      <w:r>
        <w:t xml:space="preserve">Support under Part VI of the Immigration and Asylum Act 1999 </w:t>
      </w:r>
    </w:p>
    <w:p w:rsidR="00B53493" w:rsidP="00BD00BF" w:rsidRDefault="00BD00BF" w14:paraId="7AE52D0B" w14:textId="3E408843">
      <w:pPr>
        <w:shd w:val="clear" w:color="auto" w:fill="FFFFFF"/>
        <w:spacing w:before="180" w:after="0" w:line="240" w:lineRule="auto"/>
        <w:ind w:left="709" w:hanging="425"/>
        <w:outlineLvl w:val="2"/>
      </w:pPr>
      <w:r>
        <w:t xml:space="preserve">• </w:t>
      </w:r>
      <w:r w:rsidR="00B53493">
        <w:tab/>
      </w:r>
      <w:r>
        <w:t xml:space="preserve">The guarantee element of Pension Credit </w:t>
      </w:r>
    </w:p>
    <w:p w:rsidR="00B53493" w:rsidP="00BD00BF" w:rsidRDefault="00BD00BF" w14:paraId="5ED25DAB" w14:textId="4CB84835">
      <w:pPr>
        <w:shd w:val="clear" w:color="auto" w:fill="FFFFFF"/>
        <w:spacing w:before="180" w:after="0" w:line="240" w:lineRule="auto"/>
        <w:ind w:left="709" w:hanging="425"/>
        <w:outlineLvl w:val="2"/>
      </w:pPr>
      <w:r>
        <w:t xml:space="preserve">• </w:t>
      </w:r>
      <w:r w:rsidR="00B53493">
        <w:tab/>
      </w:r>
      <w:r>
        <w:t xml:space="preserve">Child Tax Credit (provided you’re not also entitled to Working Tax Credit and have an annual gross income of no more than £16,190) </w:t>
      </w:r>
    </w:p>
    <w:p w:rsidR="00B53493" w:rsidP="00BD00BF" w:rsidRDefault="00BD00BF" w14:paraId="14A09FC6" w14:textId="54B6F93C">
      <w:pPr>
        <w:shd w:val="clear" w:color="auto" w:fill="FFFFFF"/>
        <w:spacing w:before="180" w:after="0" w:line="240" w:lineRule="auto"/>
        <w:ind w:left="709" w:hanging="425"/>
        <w:outlineLvl w:val="2"/>
      </w:pPr>
      <w:r>
        <w:t xml:space="preserve">• </w:t>
      </w:r>
      <w:r w:rsidR="00B53493">
        <w:tab/>
      </w:r>
      <w:r>
        <w:t xml:space="preserve">Working Tax Credit run-on – paid for four weeks after you stop qualifying for Working Tax Credit In addition, the following pupils will be protected against losing their free school meals as follows: </w:t>
      </w:r>
    </w:p>
    <w:p w:rsidR="00B53493" w:rsidP="00B53493" w:rsidRDefault="00BD00BF" w14:paraId="57AFD297" w14:textId="15849F4C">
      <w:pPr>
        <w:pStyle w:val="ListParagraph"/>
        <w:numPr>
          <w:ilvl w:val="0"/>
          <w:numId w:val="10"/>
        </w:numPr>
        <w:shd w:val="clear" w:color="auto" w:fill="FFFFFF"/>
        <w:spacing w:before="180" w:after="0" w:line="240" w:lineRule="auto"/>
        <w:outlineLvl w:val="2"/>
      </w:pPr>
      <w:r>
        <w:t xml:space="preserve">Since 1 April 2018, all existing free school meals claimants have continued to receive free school meals whilst Universal Credit is rolled out. This applies even if their earnings rise above the threshold during that time. </w:t>
      </w:r>
    </w:p>
    <w:p w:rsidR="00B53493" w:rsidP="00B53493" w:rsidRDefault="00B53493" w14:paraId="4DFC1EBB" w14:textId="77777777">
      <w:pPr>
        <w:pStyle w:val="ListParagraph"/>
        <w:shd w:val="clear" w:color="auto" w:fill="FFFFFF"/>
        <w:spacing w:before="180" w:after="0" w:line="240" w:lineRule="auto"/>
        <w:ind w:left="1069"/>
        <w:outlineLvl w:val="2"/>
      </w:pPr>
    </w:p>
    <w:p w:rsidR="00B53493" w:rsidP="00B53493" w:rsidRDefault="00BD00BF" w14:paraId="34A07528" w14:textId="0ABB496A">
      <w:pPr>
        <w:pStyle w:val="ListParagraph"/>
        <w:numPr>
          <w:ilvl w:val="0"/>
          <w:numId w:val="10"/>
        </w:numPr>
        <w:shd w:val="clear" w:color="auto" w:fill="FFFFFF"/>
        <w:spacing w:before="180" w:after="0" w:line="240" w:lineRule="auto"/>
        <w:outlineLvl w:val="2"/>
      </w:pPr>
      <w:r>
        <w:t xml:space="preserve">In addition, any pupil gaining eligibility for free school meals after 1 April </w:t>
      </w:r>
    </w:p>
    <w:p w:rsidR="007A093A" w:rsidP="00B94C18" w:rsidRDefault="00BD00BF" w14:paraId="525796FA" w14:textId="77777777">
      <w:pPr>
        <w:pStyle w:val="ListParagraph"/>
        <w:shd w:val="clear" w:color="auto" w:fill="FFFFFF"/>
        <w:spacing w:before="180" w:after="0" w:line="240" w:lineRule="auto"/>
        <w:ind w:left="1069"/>
        <w:outlineLvl w:val="2"/>
      </w:pPr>
      <w:r>
        <w:t>2018 will be protected against losing free school meals until March 2025.</w:t>
      </w:r>
    </w:p>
    <w:p w:rsidR="007A093A" w:rsidP="00B94C18" w:rsidRDefault="007A093A" w14:paraId="308D8706" w14:textId="77777777">
      <w:pPr>
        <w:pStyle w:val="ListParagraph"/>
        <w:shd w:val="clear" w:color="auto" w:fill="FFFFFF"/>
        <w:spacing w:before="180" w:after="0" w:line="240" w:lineRule="auto"/>
        <w:ind w:left="1069"/>
        <w:outlineLvl w:val="2"/>
      </w:pPr>
    </w:p>
    <w:p w:rsidRPr="0003221F" w:rsidR="00B94C18" w:rsidP="00B94C18" w:rsidRDefault="00BD00BF" w14:paraId="7AE163BA" w14:textId="03A2D3FD">
      <w:pPr>
        <w:pStyle w:val="ListParagraph"/>
        <w:numPr>
          <w:ilvl w:val="1"/>
          <w:numId w:val="24"/>
        </w:numPr>
        <w:shd w:val="clear" w:color="auto" w:fill="FFFFFF"/>
        <w:spacing w:before="180" w:after="0" w:line="240" w:lineRule="auto"/>
        <w:ind w:left="1134" w:hanging="425"/>
        <w:outlineLvl w:val="2"/>
        <w:rPr>
          <w:highlight w:val="yellow"/>
        </w:rPr>
      </w:pPr>
      <w:r>
        <w:t xml:space="preserve">After March 2025, any existing claimants that no longer meet the eligibility criteria at that point (because they are earning above the threshold or are no longer a recipient of Universal Credit) will continue to receive free school meals until the end of their current phase of education (i.e. primary or secondary). </w:t>
      </w:r>
      <w:r w:rsidRPr="0003221F" w:rsidR="00B94C18">
        <w:rPr>
          <w:b/>
          <w:bCs/>
          <w:highlight w:val="yellow"/>
        </w:rPr>
        <w:t>This is end of Year 6 (Primary) and Year 11 (Secondary). FSM eligibility once pupils reach this stage of schooling will be subject to regular audits by Hertfordshire County Council.</w:t>
      </w:r>
      <w:r w:rsidRPr="0003221F" w:rsidR="007A093A">
        <w:rPr>
          <w:b/>
          <w:bCs/>
          <w:highlight w:val="yellow"/>
        </w:rPr>
        <w:t xml:space="preserve"> </w:t>
      </w:r>
      <w:r w:rsidRPr="0003221F" w:rsidR="00B94C18">
        <w:rPr>
          <w:b/>
          <w:bCs/>
          <w:highlight w:val="yellow"/>
        </w:rPr>
        <w:t>All applications, whatever year group, for Free School Meals made from 1 April 2025 are not protected by Transitional Protection and will be subject to regular audits by Hertfordshire County Council.</w:t>
      </w:r>
    </w:p>
    <w:p w:rsidRPr="00B53493" w:rsidR="00BD00BF" w:rsidP="00B53493" w:rsidRDefault="00BD00BF" w14:paraId="7398B465" w14:textId="42182B5D">
      <w:pPr>
        <w:shd w:val="clear" w:color="auto" w:fill="FFFFFF"/>
        <w:spacing w:before="180" w:after="0" w:line="240" w:lineRule="auto"/>
        <w:outlineLvl w:val="2"/>
        <w:rPr>
          <w:rFonts w:cs="Arial"/>
          <w:szCs w:val="24"/>
        </w:rPr>
      </w:pPr>
      <w:r>
        <w:t xml:space="preserve">A pupil is only eligible to receive a free school meal when a claim for the meal has been made on their behalf and their eligibility, or protected status, has been verified by the school where they are enrolled or by </w:t>
      </w:r>
      <w:r w:rsidR="00B53493">
        <w:t>Hertfordshire County Council</w:t>
      </w:r>
      <w:r>
        <w:t>.</w:t>
      </w:r>
    </w:p>
    <w:p w:rsidR="00BD00BF" w:rsidP="00BD00BF" w:rsidRDefault="00BD00BF" w14:paraId="50707776" w14:textId="77777777">
      <w:pPr>
        <w:shd w:val="clear" w:color="auto" w:fill="FFFFFF"/>
        <w:spacing w:before="180" w:after="0" w:line="240" w:lineRule="auto"/>
        <w:ind w:left="709" w:hanging="425"/>
        <w:outlineLvl w:val="2"/>
        <w:rPr>
          <w:rFonts w:cs="Arial"/>
          <w:szCs w:val="24"/>
        </w:rPr>
      </w:pPr>
    </w:p>
    <w:p w:rsidR="002B1CBE" w:rsidRDefault="002B1CBE" w14:paraId="0D47F4E8" w14:textId="63EE5B1F">
      <w:pPr>
        <w:rPr>
          <w:rFonts w:eastAsia="Times New Roman" w:cs="Arial"/>
          <w:b/>
          <w:bCs/>
          <w:color w:val="111111"/>
          <w:kern w:val="0"/>
          <w:szCs w:val="24"/>
          <w:lang w:eastAsia="en-GB"/>
          <w14:ligatures w14:val="none"/>
        </w:rPr>
      </w:pPr>
      <w:r>
        <w:rPr>
          <w:rFonts w:eastAsia="Times New Roman" w:cs="Arial"/>
          <w:b/>
          <w:bCs/>
          <w:color w:val="111111"/>
          <w:kern w:val="0"/>
          <w:szCs w:val="24"/>
          <w:lang w:eastAsia="en-GB"/>
          <w14:ligatures w14:val="none"/>
        </w:rPr>
        <w:br w:type="page"/>
      </w:r>
    </w:p>
    <w:p w:rsidR="001D7866" w:rsidP="007457EA" w:rsidRDefault="002B1CBE" w14:paraId="10B48579" w14:textId="00C3565A">
      <w:pPr>
        <w:shd w:val="clear" w:color="auto" w:fill="FFFFFF"/>
        <w:spacing w:before="180" w:after="0" w:line="240" w:lineRule="auto"/>
        <w:ind w:left="709" w:hanging="709"/>
        <w:outlineLvl w:val="2"/>
        <w:rPr>
          <w:rStyle w:val="TitleChar"/>
          <w:rFonts w:eastAsiaTheme="minorHAnsi"/>
        </w:rPr>
      </w:pPr>
      <w:r w:rsidRPr="001D7866">
        <w:rPr>
          <w:rStyle w:val="TitleChar"/>
          <w:rFonts w:eastAsiaTheme="minorHAnsi"/>
        </w:rPr>
        <w:lastRenderedPageBreak/>
        <w:t xml:space="preserve">Children receiving education otherwise than at school </w:t>
      </w:r>
      <w:r w:rsidR="00021BBD">
        <w:rPr>
          <w:rStyle w:val="TitleChar"/>
          <w:rFonts w:eastAsiaTheme="minorHAnsi"/>
        </w:rPr>
        <w:t>(EOTAS)</w:t>
      </w:r>
    </w:p>
    <w:p w:rsidR="00021BBD" w:rsidP="00021BBD" w:rsidRDefault="00021BBD" w14:paraId="2CD3144B" w14:textId="38BE3B77">
      <w:pPr>
        <w:shd w:val="clear" w:color="auto" w:fill="FFFFFF"/>
        <w:spacing w:before="180" w:after="0" w:line="240" w:lineRule="auto"/>
        <w:outlineLvl w:val="2"/>
      </w:pPr>
      <w:r>
        <w:t xml:space="preserve">No specific provision is made in legislation for free school meals to be provided to children who are in receipt of EOTAS. </w:t>
      </w:r>
    </w:p>
    <w:p w:rsidR="00021BBD" w:rsidP="001D7866" w:rsidRDefault="006B2D5B" w14:paraId="4E99766B" w14:textId="54652516">
      <w:pPr>
        <w:shd w:val="clear" w:color="auto" w:fill="FFFFFF"/>
        <w:spacing w:before="180" w:after="0" w:line="240" w:lineRule="auto"/>
        <w:outlineLvl w:val="2"/>
      </w:pPr>
      <w:r>
        <w:t xml:space="preserve">Under section 61 of the Children and Families Act 2014, </w:t>
      </w:r>
      <w:r w:rsidR="00021BBD">
        <w:t>Hertfordshire County Council will</w:t>
      </w:r>
      <w:r w:rsidR="00F0382D">
        <w:t xml:space="preserve"> normally arrange free school meal vouchers</w:t>
      </w:r>
      <w:r w:rsidR="00021BBD">
        <w:t xml:space="preserve"> </w:t>
      </w:r>
      <w:r>
        <w:t>for those families who meet both of the following criteria:</w:t>
      </w:r>
    </w:p>
    <w:p w:rsidR="006B2D5B" w:rsidP="0020697C" w:rsidRDefault="002B1CBE" w14:paraId="49A4B402" w14:textId="0AA273CE">
      <w:pPr>
        <w:pStyle w:val="ListParagraph"/>
        <w:numPr>
          <w:ilvl w:val="0"/>
          <w:numId w:val="12"/>
        </w:numPr>
        <w:shd w:val="clear" w:color="auto" w:fill="FFFFFF"/>
        <w:spacing w:before="180" w:after="0" w:line="240" w:lineRule="auto"/>
        <w:outlineLvl w:val="2"/>
      </w:pPr>
      <w:r>
        <w:t xml:space="preserve">the child would meet the benefits-related criteria for free school meals if they were in a state-funded school </w:t>
      </w:r>
      <w:r w:rsidR="00343214">
        <w:t>(see Who is eligible for FSM?</w:t>
      </w:r>
    </w:p>
    <w:p w:rsidR="00343214" w:rsidP="00343214" w:rsidRDefault="00343214" w14:paraId="4545FA0C" w14:textId="77777777">
      <w:pPr>
        <w:pStyle w:val="ListParagraph"/>
        <w:shd w:val="clear" w:color="auto" w:fill="FFFFFF"/>
        <w:spacing w:before="180" w:after="0" w:line="240" w:lineRule="auto"/>
        <w:outlineLvl w:val="2"/>
      </w:pPr>
    </w:p>
    <w:p w:rsidR="001D7866" w:rsidP="006B2D5B" w:rsidRDefault="002B1CBE" w14:paraId="24B9AF71" w14:textId="028C4737">
      <w:pPr>
        <w:pStyle w:val="ListParagraph"/>
        <w:shd w:val="clear" w:color="auto" w:fill="FFFFFF"/>
        <w:spacing w:before="180" w:after="0" w:line="240" w:lineRule="auto"/>
        <w:outlineLvl w:val="2"/>
      </w:pPr>
      <w:r>
        <w:t xml:space="preserve">and </w:t>
      </w:r>
    </w:p>
    <w:p w:rsidR="006B2D5B" w:rsidP="006B2D5B" w:rsidRDefault="006B2D5B" w14:paraId="19585323" w14:textId="77777777">
      <w:pPr>
        <w:pStyle w:val="ListParagraph"/>
        <w:shd w:val="clear" w:color="auto" w:fill="FFFFFF"/>
        <w:spacing w:before="180" w:after="0" w:line="240" w:lineRule="auto"/>
        <w:outlineLvl w:val="2"/>
      </w:pPr>
    </w:p>
    <w:p w:rsidR="001D7866" w:rsidP="006B2D5B" w:rsidRDefault="002B1CBE" w14:paraId="695AC617" w14:textId="21813529">
      <w:pPr>
        <w:pStyle w:val="ListParagraph"/>
        <w:numPr>
          <w:ilvl w:val="0"/>
          <w:numId w:val="12"/>
        </w:numPr>
        <w:shd w:val="clear" w:color="auto" w:fill="FFFFFF"/>
        <w:spacing w:before="180" w:after="0" w:line="240" w:lineRule="auto"/>
        <w:outlineLvl w:val="2"/>
      </w:pPr>
      <w:r>
        <w:t xml:space="preserve">the meals would be provided in conjunction with education and would, in line with the aim of free school meal provision, be for the purpose of enabling the child to benefit fully from the education being provided. </w:t>
      </w:r>
    </w:p>
    <w:p w:rsidR="007B6947" w:rsidP="007B6947" w:rsidRDefault="007B6947" w14:paraId="3E029A58" w14:textId="77777777">
      <w:pPr>
        <w:pStyle w:val="ListParagraph"/>
        <w:shd w:val="clear" w:color="auto" w:fill="FFFFFF"/>
        <w:spacing w:before="180" w:after="0" w:line="240" w:lineRule="auto"/>
        <w:outlineLvl w:val="2"/>
      </w:pPr>
    </w:p>
    <w:p w:rsidRPr="007B6947" w:rsidR="007B6947" w:rsidP="007B6947" w:rsidRDefault="007B6947" w14:paraId="4FE6140F" w14:textId="77777777">
      <w:pPr>
        <w:pStyle w:val="Title"/>
        <w:rPr>
          <w:rStyle w:val="TitleChar"/>
          <w:rFonts w:eastAsiaTheme="minorHAnsi"/>
          <w:b/>
        </w:rPr>
      </w:pPr>
      <w:r w:rsidRPr="007B6947">
        <w:t>A</w:t>
      </w:r>
      <w:r w:rsidRPr="007B6947">
        <w:rPr>
          <w:rStyle w:val="TitleChar"/>
          <w:b/>
        </w:rPr>
        <w:t xml:space="preserve">ssessment of earnings for Universal Credit recipients </w:t>
      </w:r>
    </w:p>
    <w:p w:rsidR="007B6947" w:rsidP="007B6947" w:rsidRDefault="007B6947" w14:paraId="311B5869" w14:textId="65DEE6B7">
      <w:pPr>
        <w:shd w:val="clear" w:color="auto" w:fill="FFFFFF"/>
        <w:spacing w:before="180" w:after="0" w:line="240" w:lineRule="auto"/>
        <w:outlineLvl w:val="2"/>
      </w:pPr>
      <w:r>
        <w:t xml:space="preserve">Applicants for free school meals who are in receipt of Universal Credit must have an equivalent annual net earned income of no more than £7,400 to be eligible for free school meals. The monthly checking arrangements outlined below are designed to consider claimants whose earnings may fluctuate on a monthly basis. </w:t>
      </w:r>
    </w:p>
    <w:p w:rsidR="007B6947" w:rsidP="007B6947" w:rsidRDefault="007B6947" w14:paraId="174E434D" w14:textId="7E0C0903">
      <w:pPr>
        <w:shd w:val="clear" w:color="auto" w:fill="FFFFFF"/>
        <w:spacing w:before="180" w:after="0" w:line="240" w:lineRule="auto"/>
        <w:ind w:left="426" w:hanging="426"/>
        <w:outlineLvl w:val="2"/>
      </w:pPr>
      <w:r>
        <w:t xml:space="preserve">• </w:t>
      </w:r>
      <w:r>
        <w:tab/>
        <w:t xml:space="preserve">Firstly, a Universal Credit claimant will be checked for monthly net earned income not exceeding £616.67 (a twelfth of an equivalent yearly income of £7,400) in their most recent Universal Credit assessment period. If they meet this criterion, they are eligible for free school meals and no further checks are necessary; </w:t>
      </w:r>
    </w:p>
    <w:p w:rsidR="007B6947" w:rsidP="007B6947" w:rsidRDefault="007B6947" w14:paraId="1FC0DBFA" w14:textId="2EC2A9D5">
      <w:pPr>
        <w:shd w:val="clear" w:color="auto" w:fill="FFFFFF"/>
        <w:spacing w:before="180" w:after="0" w:line="240" w:lineRule="auto"/>
        <w:ind w:left="426" w:hanging="426"/>
        <w:outlineLvl w:val="2"/>
      </w:pPr>
      <w:r>
        <w:t xml:space="preserve">• </w:t>
      </w:r>
      <w:r>
        <w:tab/>
        <w:t xml:space="preserve">If their earned income exceeds the above threshold for their most recent Universal Credit assessment period, the claimant will be checked for net earned income not exceeding £1,233.34 (a sixth of an equivalent yearly income of £7,400) in their two most recent assessment Universal Credit assessment periods, provided there are two such assessment periods. If they meet this criterion, they are eligible for free school meals and no further checks are necessary; </w:t>
      </w:r>
    </w:p>
    <w:p w:rsidR="007B6947" w:rsidP="007B6947" w:rsidRDefault="007B6947" w14:paraId="23875BC5" w14:textId="7CFA2006">
      <w:pPr>
        <w:shd w:val="clear" w:color="auto" w:fill="FFFFFF"/>
        <w:spacing w:before="180" w:after="0" w:line="240" w:lineRule="auto"/>
        <w:ind w:left="426" w:hanging="426"/>
        <w:outlineLvl w:val="2"/>
      </w:pPr>
      <w:r>
        <w:t xml:space="preserve">• </w:t>
      </w:r>
      <w:r>
        <w:tab/>
        <w:t xml:space="preserve">If their earned income exceeds the above threshold for their two most recent Universal Credit assessment periods, the claimant will be checked for net earned income not exceeding £1,850 (a quarter of an equivalent yearly income of £7,400) in their three most recent Universal Credit assessment periods, provided there are three such assessment periods. If they meet this criterion, they are eligible for free school meals. </w:t>
      </w:r>
    </w:p>
    <w:p w:rsidR="007B6947" w:rsidP="007B6947" w:rsidRDefault="007B6947" w14:paraId="7A7B0FAF" w14:textId="22AB899B">
      <w:pPr>
        <w:shd w:val="clear" w:color="auto" w:fill="FFFFFF"/>
        <w:spacing w:before="180" w:after="0" w:line="240" w:lineRule="auto"/>
        <w:ind w:left="426" w:hanging="426"/>
        <w:outlineLvl w:val="2"/>
      </w:pPr>
      <w:r>
        <w:t xml:space="preserve">• </w:t>
      </w:r>
      <w:r>
        <w:tab/>
        <w:t xml:space="preserve">If Universal Credit recipients do not meet any of these criteria, they will be ineligible for free school meals. Only complete assessment periods will be checked. A manual check will be required to determine eligibility for self-employed Universal Credit claimants. These claimants will need to provide evidence that: </w:t>
      </w:r>
    </w:p>
    <w:p w:rsidR="007B6947" w:rsidP="007B6947" w:rsidRDefault="007B6947" w14:paraId="0158770C" w14:textId="29CAC9DD">
      <w:pPr>
        <w:shd w:val="clear" w:color="auto" w:fill="FFFFFF"/>
        <w:spacing w:before="180" w:after="0" w:line="240" w:lineRule="auto"/>
        <w:ind w:left="426" w:hanging="426"/>
        <w:outlineLvl w:val="2"/>
      </w:pPr>
      <w:r>
        <w:lastRenderedPageBreak/>
        <w:t xml:space="preserve">• </w:t>
      </w:r>
      <w:r>
        <w:tab/>
        <w:t xml:space="preserve">They are in receipt of Universal Credit, by providing their Universal Credit award letter; </w:t>
      </w:r>
    </w:p>
    <w:p w:rsidR="007B6947" w:rsidP="007B6947" w:rsidRDefault="007B6947" w14:paraId="3B2BB17B" w14:textId="63AEF2DB">
      <w:pPr>
        <w:shd w:val="clear" w:color="auto" w:fill="FFFFFF"/>
        <w:spacing w:before="180" w:after="0" w:line="240" w:lineRule="auto"/>
        <w:ind w:left="426" w:hanging="426"/>
        <w:outlineLvl w:val="2"/>
      </w:pPr>
      <w:r>
        <w:t xml:space="preserve">• </w:t>
      </w:r>
      <w:r>
        <w:tab/>
        <w:t xml:space="preserve">They are self-employed, by providing a copy of their company registration or tax return form; </w:t>
      </w:r>
    </w:p>
    <w:p w:rsidR="007B6947" w:rsidP="007B6947" w:rsidRDefault="007B6947" w14:paraId="04C14EDB" w14:textId="5BE24172">
      <w:pPr>
        <w:shd w:val="clear" w:color="auto" w:fill="FFFFFF"/>
        <w:spacing w:before="180" w:after="0" w:line="240" w:lineRule="auto"/>
        <w:ind w:left="426" w:hanging="426"/>
        <w:outlineLvl w:val="2"/>
      </w:pPr>
      <w:r>
        <w:t xml:space="preserve">• </w:t>
      </w:r>
      <w:r>
        <w:tab/>
        <w:t>Their monthly net earnings do not exceed the threshold as set out above. Schools should request that self-employed claimants complete the self-declaration attached at Annex B and, once satisfied that they are eligible, provide free school meals to their child/children.</w:t>
      </w:r>
    </w:p>
    <w:p w:rsidR="007B6947" w:rsidP="007B6947" w:rsidRDefault="007B6947" w14:paraId="7430B5F6" w14:textId="77777777">
      <w:pPr>
        <w:shd w:val="clear" w:color="auto" w:fill="FFFFFF"/>
        <w:spacing w:before="180" w:after="0" w:line="240" w:lineRule="auto"/>
        <w:ind w:left="426" w:hanging="426"/>
        <w:outlineLvl w:val="2"/>
      </w:pPr>
    </w:p>
    <w:p w:rsidR="007B6947" w:rsidP="007B6947" w:rsidRDefault="007B6947" w14:paraId="0C044692" w14:textId="4EE2AE92">
      <w:pPr>
        <w:pStyle w:val="Title"/>
      </w:pPr>
      <w:r w:rsidRPr="007B6947">
        <w:t xml:space="preserve">Applying for Free School Meals </w:t>
      </w:r>
    </w:p>
    <w:p w:rsidR="006459A4" w:rsidP="007B6947" w:rsidRDefault="006459A4" w14:paraId="3DB492A7" w14:textId="77777777">
      <w:pPr>
        <w:pStyle w:val="Title"/>
      </w:pPr>
    </w:p>
    <w:p w:rsidRPr="006459A4" w:rsidR="006459A4" w:rsidP="006459A4" w:rsidRDefault="006459A4" w14:paraId="4AAC5583" w14:textId="77777777">
      <w:pPr>
        <w:numPr>
          <w:ilvl w:val="0"/>
          <w:numId w:val="18"/>
        </w:numPr>
        <w:shd w:val="clear" w:color="auto" w:fill="FFFFFF"/>
        <w:tabs>
          <w:tab w:val="clear" w:pos="720"/>
          <w:tab w:val="num" w:pos="426"/>
        </w:tabs>
        <w:spacing w:after="0" w:line="240" w:lineRule="auto"/>
        <w:ind w:hanging="720"/>
        <w:rPr>
          <w:rFonts w:ascii="Roboto" w:hAnsi="Roboto" w:eastAsia="Times New Roman" w:cs="Times New Roman"/>
          <w:color w:val="111111"/>
          <w:kern w:val="0"/>
          <w:szCs w:val="24"/>
          <w:lang w:eastAsia="en-GB"/>
          <w14:ligatures w14:val="none"/>
        </w:rPr>
      </w:pPr>
      <w:r w:rsidRPr="006459A4">
        <w:rPr>
          <w:rFonts w:ascii="Roboto" w:hAnsi="Roboto" w:eastAsia="Times New Roman" w:cs="Times New Roman"/>
          <w:b/>
          <w:bCs/>
          <w:color w:val="111111"/>
          <w:kern w:val="0"/>
          <w:szCs w:val="24"/>
          <w:lang w:eastAsia="en-GB"/>
          <w14:ligatures w14:val="none"/>
        </w:rPr>
        <w:t>Infant Free School Meals</w:t>
      </w:r>
      <w:r w:rsidRPr="006459A4">
        <w:rPr>
          <w:rFonts w:ascii="Roboto" w:hAnsi="Roboto" w:eastAsia="Times New Roman" w:cs="Times New Roman"/>
          <w:color w:val="111111"/>
          <w:kern w:val="0"/>
          <w:szCs w:val="24"/>
          <w:lang w:eastAsia="en-GB"/>
          <w14:ligatures w14:val="none"/>
        </w:rPr>
        <w:t>:</w:t>
      </w:r>
    </w:p>
    <w:p w:rsidR="006459A4" w:rsidP="006459A4" w:rsidRDefault="006459A4" w14:paraId="6228C62C" w14:textId="0816D08D">
      <w:pPr>
        <w:numPr>
          <w:ilvl w:val="1"/>
          <w:numId w:val="18"/>
        </w:numPr>
        <w:shd w:val="clear" w:color="auto" w:fill="FFFFFF"/>
        <w:tabs>
          <w:tab w:val="clear" w:pos="1440"/>
          <w:tab w:val="num" w:pos="851"/>
        </w:tabs>
        <w:spacing w:beforeAutospacing="1" w:after="0" w:afterAutospacing="1" w:line="240" w:lineRule="auto"/>
        <w:ind w:left="709" w:hanging="283"/>
        <w:rPr>
          <w:rFonts w:ascii="Roboto" w:hAnsi="Roboto" w:eastAsia="Times New Roman" w:cs="Times New Roman"/>
          <w:color w:val="111111"/>
          <w:kern w:val="0"/>
          <w:szCs w:val="24"/>
          <w:lang w:eastAsia="en-GB"/>
          <w14:ligatures w14:val="none"/>
        </w:rPr>
      </w:pPr>
      <w:r>
        <w:rPr>
          <w:rFonts w:ascii="Roboto" w:hAnsi="Roboto" w:eastAsia="Times New Roman" w:cs="Times New Roman"/>
          <w:color w:val="111111"/>
          <w:kern w:val="0"/>
          <w:szCs w:val="24"/>
          <w:lang w:eastAsia="en-GB"/>
          <w14:ligatures w14:val="none"/>
        </w:rPr>
        <w:t xml:space="preserve">In England, children in government-funded schools who are in reception class, Year 1, or Year 2 are </w:t>
      </w:r>
      <w:r w:rsidRPr="007457EA">
        <w:rPr>
          <w:rFonts w:ascii="Roboto" w:hAnsi="Roboto" w:eastAsia="Times New Roman" w:cs="Times New Roman"/>
          <w:b/>
          <w:bCs/>
          <w:color w:val="111111"/>
          <w:kern w:val="0"/>
          <w:szCs w:val="24"/>
          <w:lang w:eastAsia="en-GB"/>
          <w14:ligatures w14:val="none"/>
        </w:rPr>
        <w:t xml:space="preserve">automatically eligible </w:t>
      </w:r>
      <w:r>
        <w:rPr>
          <w:rFonts w:ascii="Roboto" w:hAnsi="Roboto" w:eastAsia="Times New Roman" w:cs="Times New Roman"/>
          <w:color w:val="111111"/>
          <w:kern w:val="0"/>
          <w:szCs w:val="24"/>
          <w:lang w:eastAsia="en-GB"/>
          <w14:ligatures w14:val="none"/>
        </w:rPr>
        <w:t>for free school meals.</w:t>
      </w:r>
    </w:p>
    <w:p w:rsidRPr="006459A4" w:rsidR="006459A4" w:rsidP="006459A4" w:rsidRDefault="006459A4" w14:paraId="43DD656D" w14:textId="77777777">
      <w:pPr>
        <w:shd w:val="clear" w:color="auto" w:fill="FFFFFF"/>
        <w:spacing w:after="0" w:line="240" w:lineRule="auto"/>
        <w:ind w:left="720"/>
        <w:rPr>
          <w:rFonts w:ascii="Roboto" w:hAnsi="Roboto" w:eastAsia="Times New Roman" w:cs="Times New Roman"/>
          <w:color w:val="111111"/>
          <w:kern w:val="0"/>
          <w:szCs w:val="24"/>
          <w:lang w:eastAsia="en-GB"/>
          <w14:ligatures w14:val="none"/>
        </w:rPr>
      </w:pPr>
    </w:p>
    <w:p w:rsidRPr="006459A4" w:rsidR="006459A4" w:rsidP="006459A4" w:rsidRDefault="006459A4" w14:paraId="36C9AA79" w14:textId="7DAA0317">
      <w:pPr>
        <w:numPr>
          <w:ilvl w:val="0"/>
          <w:numId w:val="18"/>
        </w:numPr>
        <w:shd w:val="clear" w:color="auto" w:fill="FFFFFF"/>
        <w:tabs>
          <w:tab w:val="clear" w:pos="720"/>
          <w:tab w:val="num" w:pos="426"/>
        </w:tabs>
        <w:spacing w:after="0" w:line="240" w:lineRule="auto"/>
        <w:ind w:hanging="720"/>
        <w:rPr>
          <w:rFonts w:ascii="Roboto" w:hAnsi="Roboto" w:eastAsia="Times New Roman" w:cs="Times New Roman"/>
          <w:color w:val="111111"/>
          <w:kern w:val="0"/>
          <w:szCs w:val="24"/>
          <w:lang w:eastAsia="en-GB"/>
          <w14:ligatures w14:val="none"/>
        </w:rPr>
      </w:pPr>
      <w:r>
        <w:rPr>
          <w:rFonts w:ascii="Roboto" w:hAnsi="Roboto" w:eastAsia="Times New Roman" w:cs="Times New Roman"/>
          <w:b/>
          <w:bCs/>
          <w:color w:val="111111"/>
          <w:kern w:val="0"/>
          <w:szCs w:val="24"/>
          <w:lang w:eastAsia="en-GB"/>
          <w14:ligatures w14:val="none"/>
        </w:rPr>
        <w:t>Children in Year 3 and older</w:t>
      </w:r>
      <w:r w:rsidRPr="006459A4">
        <w:rPr>
          <w:rFonts w:ascii="Roboto" w:hAnsi="Roboto" w:eastAsia="Times New Roman" w:cs="Times New Roman"/>
          <w:color w:val="111111"/>
          <w:kern w:val="0"/>
          <w:szCs w:val="24"/>
          <w:lang w:eastAsia="en-GB"/>
          <w14:ligatures w14:val="none"/>
        </w:rPr>
        <w:t>:</w:t>
      </w:r>
    </w:p>
    <w:p w:rsidR="007B6947" w:rsidP="007B6947" w:rsidRDefault="007B6947" w14:paraId="19EAE708" w14:textId="77777777">
      <w:pPr>
        <w:pStyle w:val="Title"/>
        <w:rPr>
          <w:b w:val="0"/>
          <w:bCs/>
          <w:u w:val="none"/>
        </w:rPr>
      </w:pPr>
    </w:p>
    <w:p w:rsidR="00410982" w:rsidP="00410982" w:rsidRDefault="00313932" w14:paraId="3A2F0431" w14:textId="30611BD4">
      <w:r>
        <w:t xml:space="preserve">Step 1. </w:t>
      </w:r>
      <w:r w:rsidR="00410982">
        <w:t xml:space="preserve">Parents can apply for Free School Meals if they meet the eligibility criteria: </w:t>
      </w:r>
    </w:p>
    <w:p w:rsidRPr="00410982" w:rsidR="00410982" w:rsidP="00410982" w:rsidRDefault="007B6947" w14:paraId="624F0CE5" w14:textId="77777777">
      <w:pPr>
        <w:pStyle w:val="ListParagraph"/>
        <w:numPr>
          <w:ilvl w:val="0"/>
          <w:numId w:val="17"/>
        </w:numPr>
        <w:rPr>
          <w:rStyle w:val="Strong"/>
          <w:rFonts w:ascii="Open Sans" w:hAnsi="Open Sans" w:cs="Open Sans"/>
          <w:color w:val="000000"/>
        </w:rPr>
      </w:pPr>
      <w:r w:rsidRPr="00410982">
        <w:rPr>
          <w:rStyle w:val="Strong"/>
          <w:rFonts w:ascii="Open Sans" w:hAnsi="Open Sans" w:cs="Open Sans"/>
          <w:color w:val="000000"/>
        </w:rPr>
        <w:t>Income Support</w:t>
      </w:r>
    </w:p>
    <w:p w:rsidR="007B6947" w:rsidP="00410982" w:rsidRDefault="007B6947" w14:paraId="0DF68939" w14:textId="035B5817">
      <w:pPr>
        <w:pStyle w:val="ListParagraph"/>
        <w:numPr>
          <w:ilvl w:val="0"/>
          <w:numId w:val="17"/>
        </w:numPr>
      </w:pPr>
      <w:r w:rsidRPr="00410982">
        <w:rPr>
          <w:rStyle w:val="Strong"/>
          <w:rFonts w:ascii="Open Sans" w:hAnsi="Open Sans" w:cs="Open Sans"/>
          <w:color w:val="000000"/>
        </w:rPr>
        <w:t>Income-based Jobseekers Allowance</w:t>
      </w:r>
    </w:p>
    <w:p w:rsidR="007B6947" w:rsidP="00410982" w:rsidRDefault="007B6947" w14:paraId="45FB0C2D" w14:textId="77777777">
      <w:pPr>
        <w:pStyle w:val="ListParagraph"/>
        <w:numPr>
          <w:ilvl w:val="0"/>
          <w:numId w:val="17"/>
        </w:numPr>
      </w:pPr>
      <w:r w:rsidRPr="00410982">
        <w:rPr>
          <w:rStyle w:val="Strong"/>
          <w:rFonts w:ascii="Open Sans" w:hAnsi="Open Sans" w:cs="Open Sans"/>
          <w:color w:val="000000"/>
        </w:rPr>
        <w:t>Income-related Employment and Support Allowance</w:t>
      </w:r>
    </w:p>
    <w:p w:rsidR="007B6947" w:rsidP="00410982" w:rsidRDefault="007B6947" w14:paraId="4B0EE43A" w14:textId="77777777">
      <w:pPr>
        <w:pStyle w:val="ListParagraph"/>
        <w:numPr>
          <w:ilvl w:val="0"/>
          <w:numId w:val="17"/>
        </w:numPr>
      </w:pPr>
      <w:r w:rsidRPr="00410982">
        <w:rPr>
          <w:rStyle w:val="Strong"/>
          <w:rFonts w:ascii="Open Sans" w:hAnsi="Open Sans" w:cs="Open Sans"/>
          <w:color w:val="000000"/>
        </w:rPr>
        <w:t>Support under Part VI of the Immigration and Asylum Act 1999</w:t>
      </w:r>
    </w:p>
    <w:p w:rsidR="007B6947" w:rsidP="00410982" w:rsidRDefault="007B6947" w14:paraId="155662A9" w14:textId="77777777">
      <w:pPr>
        <w:pStyle w:val="ListParagraph"/>
        <w:numPr>
          <w:ilvl w:val="0"/>
          <w:numId w:val="17"/>
        </w:numPr>
      </w:pPr>
      <w:r w:rsidRPr="00410982">
        <w:rPr>
          <w:rStyle w:val="Strong"/>
          <w:rFonts w:ascii="Open Sans" w:hAnsi="Open Sans" w:cs="Open Sans"/>
          <w:color w:val="000000"/>
        </w:rPr>
        <w:t>The guaranteed element of State Pension Credit</w:t>
      </w:r>
    </w:p>
    <w:p w:rsidR="007B6947" w:rsidP="00410982" w:rsidRDefault="007B6947" w14:paraId="2E139BDA" w14:textId="77777777">
      <w:pPr>
        <w:pStyle w:val="ListParagraph"/>
        <w:numPr>
          <w:ilvl w:val="0"/>
          <w:numId w:val="17"/>
        </w:numPr>
      </w:pPr>
      <w:r w:rsidRPr="00410982">
        <w:rPr>
          <w:rStyle w:val="Strong"/>
          <w:rFonts w:ascii="Open Sans" w:hAnsi="Open Sans" w:cs="Open Sans"/>
          <w:color w:val="000000"/>
        </w:rPr>
        <w:t>Child Tax Credit</w:t>
      </w:r>
      <w:r>
        <w:t> (as long as you’re not also entitled to Working Tax Credit and you don't get more than </w:t>
      </w:r>
      <w:r w:rsidRPr="00410982">
        <w:rPr>
          <w:rStyle w:val="Strong"/>
          <w:rFonts w:ascii="Open Sans" w:hAnsi="Open Sans" w:cs="Open Sans"/>
          <w:color w:val="000000"/>
        </w:rPr>
        <w:t>£16,190</w:t>
      </w:r>
      <w:r>
        <w:t> a year)</w:t>
      </w:r>
    </w:p>
    <w:p w:rsidR="007B6947" w:rsidP="00410982" w:rsidRDefault="007B6947" w14:paraId="414EC559" w14:textId="77777777">
      <w:pPr>
        <w:pStyle w:val="ListParagraph"/>
        <w:numPr>
          <w:ilvl w:val="0"/>
          <w:numId w:val="17"/>
        </w:numPr>
      </w:pPr>
      <w:r w:rsidRPr="00410982">
        <w:rPr>
          <w:rStyle w:val="Strong"/>
          <w:rFonts w:ascii="Open Sans" w:hAnsi="Open Sans" w:cs="Open Sans"/>
          <w:color w:val="000000"/>
        </w:rPr>
        <w:t>Working Tax Credit run-on</w:t>
      </w:r>
      <w:r>
        <w:t> (paid for 4 weeks after you stop qualifying for Working Tax Credit)</w:t>
      </w:r>
    </w:p>
    <w:p w:rsidR="007B6947" w:rsidP="00410982" w:rsidRDefault="007B6947" w14:paraId="05F5C84B" w14:textId="77777777">
      <w:pPr>
        <w:pStyle w:val="ListParagraph"/>
        <w:numPr>
          <w:ilvl w:val="0"/>
          <w:numId w:val="17"/>
        </w:numPr>
      </w:pPr>
      <w:r w:rsidRPr="00410982">
        <w:rPr>
          <w:rStyle w:val="Strong"/>
          <w:rFonts w:ascii="Open Sans" w:hAnsi="Open Sans" w:cs="Open Sans"/>
          <w:color w:val="000000"/>
        </w:rPr>
        <w:t>Universal Credit</w:t>
      </w:r>
      <w:r>
        <w:t> (with annual earned income of no more than </w:t>
      </w:r>
      <w:r w:rsidRPr="00410982">
        <w:rPr>
          <w:rStyle w:val="Strong"/>
          <w:rFonts w:ascii="Open Sans" w:hAnsi="Open Sans" w:cs="Open Sans"/>
          <w:color w:val="000000"/>
        </w:rPr>
        <w:t>£7,400</w:t>
      </w:r>
      <w:r>
        <w:t> after tax and not including any benefits you get).</w:t>
      </w:r>
    </w:p>
    <w:p w:rsidR="00313932" w:rsidP="00313932" w:rsidRDefault="00313932" w14:paraId="1FC833A5" w14:textId="12E9180A">
      <w:r>
        <w:t xml:space="preserve">Step 2. </w:t>
      </w:r>
      <w:r w:rsidRPr="00313932">
        <w:rPr>
          <w:b/>
          <w:bCs/>
        </w:rPr>
        <w:t>Documentation needed</w:t>
      </w:r>
      <w:r>
        <w:t xml:space="preserve">: </w:t>
      </w:r>
      <w:r w:rsidRPr="00410982">
        <w:t xml:space="preserve">National Insurance number or Home Office number are </w:t>
      </w:r>
      <w:r>
        <w:t>required.</w:t>
      </w:r>
    </w:p>
    <w:p w:rsidR="00313932" w:rsidP="00410982" w:rsidRDefault="00313932" w14:paraId="64893AA9" w14:textId="423E4A85">
      <w:r w:rsidRPr="00C05B02">
        <w:rPr>
          <w:highlight w:val="yellow"/>
        </w:rPr>
        <w:t xml:space="preserve">Step 3. </w:t>
      </w:r>
      <w:r w:rsidRPr="00C05B02" w:rsidR="00B80A48">
        <w:rPr>
          <w:highlight w:val="yellow"/>
        </w:rPr>
        <w:t xml:space="preserve">Families with children receiving EOTAS </w:t>
      </w:r>
      <w:r w:rsidRPr="00C05B02" w:rsidR="00F024D0">
        <w:rPr>
          <w:highlight w:val="yellow"/>
        </w:rPr>
        <w:t>and</w:t>
      </w:r>
      <w:r w:rsidRPr="00C05B02" w:rsidR="00B80A48">
        <w:rPr>
          <w:highlight w:val="yellow"/>
        </w:rPr>
        <w:t xml:space="preserve"> eligible for Free School Meals </w:t>
      </w:r>
      <w:r w:rsidRPr="00C05B02" w:rsidR="00723E77">
        <w:rPr>
          <w:highlight w:val="yellow"/>
        </w:rPr>
        <w:t>should</w:t>
      </w:r>
      <w:r w:rsidRPr="00C05B02" w:rsidR="00B80A48">
        <w:rPr>
          <w:highlight w:val="yellow"/>
        </w:rPr>
        <w:t xml:space="preserve"> contact their Education, Health</w:t>
      </w:r>
      <w:r w:rsidRPr="00C05B02" w:rsidR="00723E77">
        <w:rPr>
          <w:highlight w:val="yellow"/>
        </w:rPr>
        <w:t xml:space="preserve"> and</w:t>
      </w:r>
      <w:r w:rsidRPr="00C05B02" w:rsidR="00B80A48">
        <w:rPr>
          <w:highlight w:val="yellow"/>
        </w:rPr>
        <w:t xml:space="preserve"> Care Coordinator (EHC</w:t>
      </w:r>
      <w:r w:rsidRPr="00C05B02" w:rsidR="00107F06">
        <w:rPr>
          <w:highlight w:val="yellow"/>
        </w:rPr>
        <w:t xml:space="preserve">CO) </w:t>
      </w:r>
      <w:r w:rsidRPr="00C05B02" w:rsidR="00723E77">
        <w:rPr>
          <w:highlight w:val="yellow"/>
        </w:rPr>
        <w:t xml:space="preserve">to obtain the relevant </w:t>
      </w:r>
      <w:r w:rsidRPr="00C05B02" w:rsidR="00107F06">
        <w:rPr>
          <w:highlight w:val="yellow"/>
        </w:rPr>
        <w:t>FSM link.</w:t>
      </w:r>
      <w:r w:rsidR="00107F06">
        <w:t xml:space="preserve"> </w:t>
      </w:r>
      <w:r w:rsidRPr="00410982" w:rsidR="00410982">
        <w:t xml:space="preserve"> </w:t>
      </w:r>
    </w:p>
    <w:p w:rsidR="00D50E7E" w:rsidP="00410982" w:rsidRDefault="00313932" w14:paraId="5F2F6A9F" w14:textId="5C02ADEA">
      <w:r>
        <w:t xml:space="preserve">Step 4. </w:t>
      </w:r>
      <w:r w:rsidR="006459A4">
        <w:t xml:space="preserve">Once eligibility for Free School Meals (FSM) is confirmed, </w:t>
      </w:r>
      <w:r w:rsidRPr="00E628C2" w:rsidR="006459A4">
        <w:t xml:space="preserve">Hertfordshire County Council will </w:t>
      </w:r>
      <w:r w:rsidRPr="00E628C2" w:rsidR="00F0382D">
        <w:t xml:space="preserve">normally </w:t>
      </w:r>
      <w:r w:rsidRPr="00E628C2" w:rsidR="006459A4">
        <w:t xml:space="preserve">transfer the FSM funds to </w:t>
      </w:r>
      <w:r w:rsidRPr="00E628C2" w:rsidR="007457EA">
        <w:t xml:space="preserve">the </w:t>
      </w:r>
      <w:r w:rsidRPr="00E628C2" w:rsidR="006459A4">
        <w:t>school</w:t>
      </w:r>
      <w:r w:rsidR="007457EA">
        <w:t xml:space="preserve"> where the child is on roll, or</w:t>
      </w:r>
      <w:r w:rsidR="006459A4">
        <w:t xml:space="preserve"> </w:t>
      </w:r>
      <w:r w:rsidR="007457EA">
        <w:t>if the</w:t>
      </w:r>
      <w:r w:rsidR="006459A4">
        <w:t xml:space="preserve"> child is receiving Education Other than School (EOTAS)</w:t>
      </w:r>
      <w:r w:rsidR="007457EA">
        <w:t xml:space="preserve">, Hertfordshire will </w:t>
      </w:r>
      <w:r w:rsidR="00F0382D">
        <w:t xml:space="preserve">normally </w:t>
      </w:r>
      <w:r w:rsidR="007457EA">
        <w:t xml:space="preserve">provide </w:t>
      </w:r>
      <w:r w:rsidR="006459A4">
        <w:rPr>
          <w:b/>
          <w:bCs/>
        </w:rPr>
        <w:t>fo</w:t>
      </w:r>
      <w:r w:rsidRPr="006459A4" w:rsidR="006459A4">
        <w:rPr>
          <w:b/>
          <w:bCs/>
        </w:rPr>
        <w:t>od vouchers.</w:t>
      </w:r>
    </w:p>
    <w:p w:rsidR="007B6947" w:rsidP="00410982" w:rsidRDefault="007B6947" w14:paraId="2FDFA3AD" w14:textId="08943CC4">
      <w:pPr>
        <w:pStyle w:val="NormalWeb"/>
        <w:shd w:val="clear" w:color="auto" w:fill="FFFFFF"/>
        <w:spacing w:before="0" w:beforeAutospacing="0" w:after="240" w:afterAutospacing="0"/>
      </w:pPr>
      <w:r>
        <w:rPr>
          <w:rFonts w:ascii="Open Sans" w:hAnsi="Open Sans" w:cs="Open Sans"/>
          <w:color w:val="000000"/>
        </w:rPr>
        <w:br/>
      </w:r>
    </w:p>
    <w:p w:rsidR="00D50E7E" w:rsidP="00D50E7E" w:rsidRDefault="00D50E7E" w14:paraId="54A78A5E" w14:textId="5AD6A97C">
      <w:pPr>
        <w:pStyle w:val="Title"/>
      </w:pPr>
      <w:r>
        <w:lastRenderedPageBreak/>
        <w:t>Free meals in further education</w:t>
      </w:r>
    </w:p>
    <w:p w:rsidR="007457EA" w:rsidP="00D50E7E" w:rsidRDefault="007457EA" w14:paraId="3642EC51" w14:textId="77777777">
      <w:pPr>
        <w:pStyle w:val="Title"/>
        <w:rPr>
          <w:sz w:val="36"/>
        </w:rPr>
      </w:pPr>
    </w:p>
    <w:p w:rsidR="00D50E7E" w:rsidP="00D50E7E" w:rsidRDefault="00D50E7E" w14:paraId="3A7419B5" w14:textId="77777777">
      <w:r>
        <w:t>To be eligible for a free meal, students must have enrolled in further education provision funded via ESFA.</w:t>
      </w:r>
    </w:p>
    <w:p w:rsidR="00D50E7E" w:rsidP="006459A4" w:rsidRDefault="00D50E7E" w14:paraId="130AFB44" w14:textId="56CB8883">
      <w:r>
        <w:t xml:space="preserve">Hertfordshire will follow the rules set out in </w:t>
      </w:r>
      <w:r w:rsidR="00F0382D">
        <w:t>the</w:t>
      </w:r>
      <w:r w:rsidR="00E628C2">
        <w:t xml:space="preserve"> </w:t>
      </w:r>
      <w:hyperlink w:history="1" r:id="rId14">
        <w:r w:rsidR="00E628C2">
          <w:rPr>
            <w:rStyle w:val="Hyperlink"/>
          </w:rPr>
          <w:t>Free meals in further education funded institutions guide 2023 to 2024 academic year - GOV.UK (www.gov.uk)</w:t>
        </w:r>
      </w:hyperlink>
      <w:r>
        <w:t>. Free meals in further education are only provided to the eligible institution types listed in the guide</w:t>
      </w:r>
      <w:r w:rsidR="006459A4">
        <w:t>:</w:t>
      </w:r>
    </w:p>
    <w:p w:rsidRPr="006459A4" w:rsidR="006459A4" w:rsidP="006459A4" w:rsidRDefault="006459A4" w14:paraId="279D4B39" w14:textId="77777777">
      <w:pPr>
        <w:rPr>
          <w:rFonts w:eastAsia="Times New Roman" w:cs="Arial"/>
          <w:color w:val="0B0C0C"/>
          <w:kern w:val="0"/>
          <w:szCs w:val="24"/>
          <w:lang w:eastAsia="en-GB"/>
          <w14:ligatures w14:val="none"/>
        </w:rPr>
      </w:pPr>
      <w:r w:rsidRPr="006459A4">
        <w:rPr>
          <w:rFonts w:eastAsia="Times New Roman" w:cs="Arial"/>
          <w:color w:val="0B0C0C"/>
          <w:kern w:val="0"/>
          <w:szCs w:val="24"/>
          <w:lang w:eastAsia="en-GB"/>
          <w14:ligatures w14:val="none"/>
        </w:rPr>
        <w:t>Students must be enrolled in FE provision funded via ESFA to be eligible for a free meal. Eligible institutions are:</w:t>
      </w:r>
    </w:p>
    <w:p w:rsidRPr="006459A4" w:rsidR="006459A4" w:rsidP="006459A4" w:rsidRDefault="006459A4" w14:paraId="585B965C" w14:textId="77777777">
      <w:pPr>
        <w:pStyle w:val="ListParagraph"/>
        <w:numPr>
          <w:ilvl w:val="0"/>
          <w:numId w:val="20"/>
        </w:numPr>
        <w:rPr>
          <w:rFonts w:eastAsia="Times New Roman" w:cs="Arial"/>
          <w:color w:val="0B0C0C"/>
          <w:kern w:val="0"/>
          <w:szCs w:val="24"/>
          <w:lang w:eastAsia="en-GB"/>
          <w14:ligatures w14:val="none"/>
        </w:rPr>
      </w:pPr>
      <w:r w:rsidRPr="006459A4">
        <w:rPr>
          <w:rFonts w:eastAsia="Times New Roman" w:cs="Arial"/>
          <w:color w:val="0B0C0C"/>
          <w:kern w:val="0"/>
          <w:szCs w:val="24"/>
          <w:lang w:eastAsia="en-GB"/>
          <w14:ligatures w14:val="none"/>
        </w:rPr>
        <w:t>general FE colleges, including specialist colleges</w:t>
      </w:r>
    </w:p>
    <w:p w:rsidRPr="006459A4" w:rsidR="006459A4" w:rsidP="006459A4" w:rsidRDefault="006459A4" w14:paraId="4CA41A4B" w14:textId="77777777">
      <w:pPr>
        <w:pStyle w:val="ListParagraph"/>
        <w:numPr>
          <w:ilvl w:val="0"/>
          <w:numId w:val="20"/>
        </w:numPr>
        <w:rPr>
          <w:rFonts w:eastAsia="Times New Roman" w:cs="Arial"/>
          <w:color w:val="0B0C0C"/>
          <w:kern w:val="0"/>
          <w:szCs w:val="24"/>
          <w:lang w:eastAsia="en-GB"/>
          <w14:ligatures w14:val="none"/>
        </w:rPr>
      </w:pPr>
      <w:r w:rsidRPr="006459A4">
        <w:rPr>
          <w:rFonts w:eastAsia="Times New Roman" w:cs="Arial"/>
          <w:color w:val="0B0C0C"/>
          <w:kern w:val="0"/>
          <w:szCs w:val="24"/>
          <w:lang w:eastAsia="en-GB"/>
          <w14:ligatures w14:val="none"/>
        </w:rPr>
        <w:t>sixth-form colleges</w:t>
      </w:r>
    </w:p>
    <w:p w:rsidRPr="006459A4" w:rsidR="006459A4" w:rsidP="006459A4" w:rsidRDefault="006459A4" w14:paraId="4E91850A" w14:textId="77777777">
      <w:pPr>
        <w:pStyle w:val="ListParagraph"/>
        <w:numPr>
          <w:ilvl w:val="0"/>
          <w:numId w:val="20"/>
        </w:numPr>
        <w:rPr>
          <w:rFonts w:eastAsia="Times New Roman" w:cs="Arial"/>
          <w:color w:val="0B0C0C"/>
          <w:kern w:val="0"/>
          <w:szCs w:val="24"/>
          <w:lang w:eastAsia="en-GB"/>
          <w14:ligatures w14:val="none"/>
        </w:rPr>
      </w:pPr>
      <w:r w:rsidRPr="006459A4">
        <w:rPr>
          <w:rFonts w:eastAsia="Times New Roman" w:cs="Arial"/>
          <w:color w:val="0B0C0C"/>
          <w:kern w:val="0"/>
          <w:szCs w:val="24"/>
          <w:lang w:eastAsia="en-GB"/>
          <w14:ligatures w14:val="none"/>
        </w:rPr>
        <w:t>independent learning providers</w:t>
      </w:r>
    </w:p>
    <w:p w:rsidRPr="006459A4" w:rsidR="006459A4" w:rsidP="006459A4" w:rsidRDefault="006459A4" w14:paraId="3FA9A9A6" w14:textId="77777777">
      <w:pPr>
        <w:pStyle w:val="ListParagraph"/>
        <w:numPr>
          <w:ilvl w:val="0"/>
          <w:numId w:val="20"/>
        </w:numPr>
        <w:rPr>
          <w:rFonts w:eastAsia="Times New Roman" w:cs="Arial"/>
          <w:color w:val="0B0C0C"/>
          <w:kern w:val="0"/>
          <w:szCs w:val="24"/>
          <w:lang w:eastAsia="en-GB"/>
          <w14:ligatures w14:val="none"/>
        </w:rPr>
      </w:pPr>
      <w:r w:rsidRPr="006459A4">
        <w:rPr>
          <w:rFonts w:eastAsia="Times New Roman" w:cs="Arial"/>
          <w:color w:val="0B0C0C"/>
          <w:kern w:val="0"/>
          <w:szCs w:val="24"/>
          <w:lang w:eastAsia="en-GB"/>
          <w14:ligatures w14:val="none"/>
        </w:rPr>
        <w:t>higher education institutions (HEIs) with ESFA 16 to 19 funding</w:t>
      </w:r>
    </w:p>
    <w:p w:rsidRPr="006459A4" w:rsidR="006459A4" w:rsidP="006459A4" w:rsidRDefault="006459A4" w14:paraId="6ADE170D" w14:textId="77777777">
      <w:pPr>
        <w:pStyle w:val="ListParagraph"/>
        <w:numPr>
          <w:ilvl w:val="0"/>
          <w:numId w:val="20"/>
        </w:numPr>
        <w:rPr>
          <w:rFonts w:eastAsia="Times New Roman" w:cs="Arial"/>
          <w:color w:val="0B0C0C"/>
          <w:kern w:val="0"/>
          <w:szCs w:val="24"/>
          <w:lang w:eastAsia="en-GB"/>
          <w14:ligatures w14:val="none"/>
        </w:rPr>
      </w:pPr>
      <w:r w:rsidRPr="006459A4">
        <w:rPr>
          <w:rFonts w:eastAsia="Times New Roman" w:cs="Arial"/>
          <w:color w:val="0B0C0C"/>
          <w:kern w:val="0"/>
          <w:szCs w:val="24"/>
          <w:lang w:eastAsia="en-GB"/>
          <w14:ligatures w14:val="none"/>
        </w:rPr>
        <w:t>specialist post-16 institutions (SPIs)</w:t>
      </w:r>
    </w:p>
    <w:p w:rsidRPr="006459A4" w:rsidR="006459A4" w:rsidP="006459A4" w:rsidRDefault="006459A4" w14:paraId="65272E14" w14:textId="77777777">
      <w:pPr>
        <w:pStyle w:val="ListParagraph"/>
        <w:numPr>
          <w:ilvl w:val="0"/>
          <w:numId w:val="20"/>
        </w:numPr>
        <w:rPr>
          <w:rFonts w:eastAsia="Times New Roman" w:cs="Arial"/>
          <w:color w:val="0B0C0C"/>
          <w:kern w:val="0"/>
          <w:szCs w:val="24"/>
          <w:lang w:eastAsia="en-GB"/>
          <w14:ligatures w14:val="none"/>
        </w:rPr>
      </w:pPr>
      <w:r w:rsidRPr="006459A4">
        <w:rPr>
          <w:rFonts w:eastAsia="Times New Roman" w:cs="Arial"/>
          <w:color w:val="0B0C0C"/>
          <w:kern w:val="0"/>
          <w:szCs w:val="24"/>
          <w:lang w:eastAsia="en-GB"/>
          <w14:ligatures w14:val="none"/>
        </w:rPr>
        <w:t>local authorities (LAs) and FE institutions directly funded for 16 to 19</w:t>
      </w:r>
    </w:p>
    <w:p w:rsidRPr="006459A4" w:rsidR="006459A4" w:rsidP="006459A4" w:rsidRDefault="006459A4" w14:paraId="2B1FA5E2" w14:textId="77777777">
      <w:pPr>
        <w:pStyle w:val="ListParagraph"/>
        <w:numPr>
          <w:ilvl w:val="0"/>
          <w:numId w:val="20"/>
        </w:numPr>
        <w:rPr>
          <w:rFonts w:eastAsia="Times New Roman" w:cs="Arial"/>
          <w:color w:val="0B0C0C"/>
          <w:kern w:val="0"/>
          <w:szCs w:val="24"/>
          <w:lang w:eastAsia="en-GB"/>
          <w14:ligatures w14:val="none"/>
        </w:rPr>
      </w:pPr>
      <w:r w:rsidRPr="006459A4">
        <w:rPr>
          <w:rFonts w:eastAsia="Times New Roman" w:cs="Arial"/>
          <w:color w:val="0B0C0C"/>
          <w:kern w:val="0"/>
          <w:szCs w:val="24"/>
          <w:lang w:eastAsia="en-GB"/>
          <w14:ligatures w14:val="none"/>
        </w:rPr>
        <w:t>16 to 19 only academies and free schools</w:t>
      </w:r>
    </w:p>
    <w:p w:rsidRPr="006459A4" w:rsidR="006459A4" w:rsidP="006459A4" w:rsidRDefault="006459A4" w14:paraId="782BA92A" w14:textId="77777777">
      <w:pPr>
        <w:pStyle w:val="ListParagraph"/>
        <w:numPr>
          <w:ilvl w:val="0"/>
          <w:numId w:val="20"/>
        </w:numPr>
        <w:rPr>
          <w:rFonts w:eastAsia="Times New Roman" w:cs="Arial"/>
          <w:color w:val="0B0C0C"/>
          <w:kern w:val="0"/>
          <w:szCs w:val="24"/>
          <w:lang w:eastAsia="en-GB"/>
          <w14:ligatures w14:val="none"/>
        </w:rPr>
      </w:pPr>
      <w:r w:rsidRPr="006459A4">
        <w:rPr>
          <w:rFonts w:eastAsia="Times New Roman" w:cs="Arial"/>
          <w:color w:val="0B0C0C"/>
          <w:kern w:val="0"/>
          <w:szCs w:val="24"/>
          <w:lang w:eastAsia="en-GB"/>
          <w14:ligatures w14:val="none"/>
        </w:rPr>
        <w:t>16 to 19 only maintained schools</w:t>
      </w:r>
    </w:p>
    <w:p w:rsidR="00D50E7E" w:rsidP="00D50E7E" w:rsidRDefault="00D50E7E" w14:paraId="27561042" w14:textId="42CD13F6">
      <w:r>
        <w:t>For the purposes of free meals eligibility, the definition of disadvantage is students being in receipt of, or having parents who are in receipt of, one or more of the qualifying benefits listed in the free meals guide.</w:t>
      </w:r>
    </w:p>
    <w:p w:rsidR="007457EA" w:rsidP="007457EA" w:rsidRDefault="00D50E7E" w14:paraId="471DB286" w14:textId="77777777">
      <w:r>
        <w:t>A student is only eligible to receive a free meal when they, or a parent or guardian on their behalf, has successfully applied to their institution.</w:t>
      </w:r>
    </w:p>
    <w:p w:rsidR="007457EA" w:rsidP="007457EA" w:rsidRDefault="007457EA" w14:paraId="33D9985B" w14:textId="77777777">
      <w:pPr>
        <w:rPr>
          <w:rFonts w:cs="Arial"/>
          <w:b/>
          <w:bCs/>
          <w:color w:val="0B0C0C"/>
        </w:rPr>
      </w:pPr>
    </w:p>
    <w:p w:rsidRPr="007457EA" w:rsidR="007457EA" w:rsidP="007457EA" w:rsidRDefault="007457EA" w14:paraId="41837746" w14:textId="6B83A18D">
      <w:pPr>
        <w:rPr>
          <w:rFonts w:cs="Arial"/>
          <w:b/>
          <w:bCs/>
          <w:color w:val="0B0C0C"/>
        </w:rPr>
      </w:pPr>
      <w:r w:rsidRPr="007457EA">
        <w:rPr>
          <w:rFonts w:cs="Arial"/>
          <w:b/>
          <w:bCs/>
          <w:color w:val="0B0C0C"/>
        </w:rPr>
        <w:t>Student eligibility</w:t>
      </w:r>
    </w:p>
    <w:p w:rsidRPr="007457EA" w:rsidR="007457EA" w:rsidP="007457EA" w:rsidRDefault="007457EA" w14:paraId="1887228A" w14:textId="6C1A217C">
      <w:r w:rsidRPr="007457EA">
        <w:rPr>
          <w:rFonts w:cs="Arial"/>
          <w:b/>
          <w:bCs/>
          <w:color w:val="0B0C0C"/>
        </w:rPr>
        <w:t>Age</w:t>
      </w:r>
    </w:p>
    <w:p w:rsidR="007457EA" w:rsidP="007457EA" w:rsidRDefault="007457EA" w14:paraId="1344D324" w14:textId="77777777">
      <w:pPr>
        <w:pStyle w:val="NormalWeb"/>
        <w:shd w:val="clear" w:color="auto" w:fill="FFFFFF"/>
        <w:spacing w:before="75" w:beforeAutospacing="0" w:after="300" w:afterAutospacing="0"/>
        <w:rPr>
          <w:rFonts w:ascii="Arial" w:hAnsi="Arial" w:cs="Arial"/>
          <w:color w:val="0B0C0C"/>
        </w:rPr>
      </w:pPr>
      <w:r>
        <w:rPr>
          <w:rFonts w:ascii="Arial" w:hAnsi="Arial" w:cs="Arial"/>
          <w:color w:val="0B0C0C"/>
        </w:rPr>
        <w:t>A student must be aged 16 or over but under 19 on 31 August 2023 to be eligible to receive a free meal. Students aged 19 or over are only eligible to receive a free meal if they are continuing on a study programme they began aged 16 to 18 (‘19+ continuers’) or have an EHC plan.</w:t>
      </w:r>
    </w:p>
    <w:p w:rsidR="007457EA" w:rsidP="007457EA" w:rsidRDefault="007457EA" w14:paraId="5264B8BC" w14:textId="77777777">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These 2 groups of aged 19 plus students can receive a free meal while they continue to attend education (in the case of a 19+ continuer, this must be the same programme they started before they turned 19), as long as their eligibility continues.</w:t>
      </w:r>
    </w:p>
    <w:p w:rsidR="005D1D97" w:rsidRDefault="005D1D97" w14:paraId="3628203E" w14:textId="77777777">
      <w:pPr>
        <w:rPr>
          <w:rFonts w:eastAsia="Times New Roman" w:cs="Arial"/>
          <w:color w:val="0B0C0C"/>
          <w:kern w:val="0"/>
          <w:szCs w:val="24"/>
          <w:lang w:eastAsia="en-GB"/>
          <w14:ligatures w14:val="none"/>
        </w:rPr>
      </w:pPr>
      <w:r>
        <w:rPr>
          <w:rFonts w:cs="Arial"/>
          <w:color w:val="0B0C0C"/>
        </w:rPr>
        <w:br w:type="page"/>
      </w:r>
    </w:p>
    <w:p w:rsidR="007457EA" w:rsidP="007457EA" w:rsidRDefault="007457EA" w14:paraId="7D0FE806" w14:textId="5ECB3E76">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lastRenderedPageBreak/>
        <w:t>The following groups of students are not eligible for free meals in further education:</w:t>
      </w:r>
    </w:p>
    <w:p w:rsidR="007457EA" w:rsidP="007457EA" w:rsidRDefault="007457EA" w14:paraId="66452550" w14:textId="77777777">
      <w:pPr>
        <w:numPr>
          <w:ilvl w:val="0"/>
          <w:numId w:val="21"/>
        </w:numPr>
        <w:shd w:val="clear" w:color="auto" w:fill="FFFFFF"/>
        <w:spacing w:after="75" w:line="240" w:lineRule="auto"/>
        <w:ind w:left="1020"/>
        <w:rPr>
          <w:rFonts w:cs="Arial"/>
          <w:color w:val="0B0C0C"/>
        </w:rPr>
      </w:pPr>
      <w:r>
        <w:rPr>
          <w:rFonts w:cs="Arial"/>
          <w:color w:val="0B0C0C"/>
        </w:rPr>
        <w:t>students aged between 14 and 16 (these students are already covered by FSM provision)</w:t>
      </w:r>
    </w:p>
    <w:p w:rsidR="007457EA" w:rsidP="007457EA" w:rsidRDefault="007457EA" w14:paraId="05B56713" w14:textId="77777777">
      <w:pPr>
        <w:numPr>
          <w:ilvl w:val="0"/>
          <w:numId w:val="21"/>
        </w:numPr>
        <w:shd w:val="clear" w:color="auto" w:fill="FFFFFF"/>
        <w:spacing w:after="75" w:line="240" w:lineRule="auto"/>
        <w:ind w:left="1020"/>
        <w:rPr>
          <w:rFonts w:cs="Arial"/>
          <w:color w:val="0B0C0C"/>
        </w:rPr>
      </w:pPr>
      <w:r>
        <w:rPr>
          <w:rFonts w:cs="Arial"/>
          <w:color w:val="0B0C0C"/>
        </w:rPr>
        <w:t>students aged 19 or over at the start of their study programme, unless they have an EHC plan or are a 19+ continuer</w:t>
      </w:r>
    </w:p>
    <w:p w:rsidR="007457EA" w:rsidP="007457EA" w:rsidRDefault="007457EA" w14:paraId="1B4004CB" w14:textId="77777777">
      <w:pPr>
        <w:numPr>
          <w:ilvl w:val="0"/>
          <w:numId w:val="21"/>
        </w:numPr>
        <w:shd w:val="clear" w:color="auto" w:fill="FFFFFF"/>
        <w:spacing w:after="75" w:line="240" w:lineRule="auto"/>
        <w:ind w:left="1020"/>
        <w:rPr>
          <w:rFonts w:cs="Arial"/>
          <w:color w:val="0B0C0C"/>
        </w:rPr>
      </w:pPr>
      <w:r>
        <w:rPr>
          <w:rFonts w:cs="Arial"/>
          <w:color w:val="0B0C0C"/>
        </w:rPr>
        <w:t>apprentices, including those with an EHC plan</w:t>
      </w:r>
    </w:p>
    <w:p w:rsidR="007457EA" w:rsidP="007457EA" w:rsidRDefault="007457EA" w14:paraId="6A050C52" w14:textId="77777777">
      <w:pPr>
        <w:rPr>
          <w:b/>
          <w:bCs/>
        </w:rPr>
      </w:pPr>
    </w:p>
    <w:p w:rsidRPr="007457EA" w:rsidR="007457EA" w:rsidP="007457EA" w:rsidRDefault="007457EA" w14:paraId="02049EC4" w14:textId="2ABB2EF4">
      <w:pPr>
        <w:rPr>
          <w:b/>
          <w:bCs/>
        </w:rPr>
      </w:pPr>
      <w:r w:rsidRPr="007457EA">
        <w:rPr>
          <w:b/>
          <w:bCs/>
        </w:rPr>
        <w:t>Eligible benefits</w:t>
      </w:r>
    </w:p>
    <w:p w:rsidR="007457EA" w:rsidP="007457EA" w:rsidRDefault="007457EA" w14:paraId="064B6F77" w14:textId="77777777">
      <w:r>
        <w:t>Free meals are targeted at disadvantaged students. Free meals in further education defines disadvantage as students being in receipt of, or having parents who are in receipt of, one or more of the following benefits:</w:t>
      </w:r>
    </w:p>
    <w:p w:rsidR="007457EA" w:rsidP="007457EA" w:rsidRDefault="007457EA" w14:paraId="16FFECCC" w14:textId="77777777">
      <w:pPr>
        <w:pStyle w:val="ListParagraph"/>
        <w:numPr>
          <w:ilvl w:val="0"/>
          <w:numId w:val="23"/>
        </w:numPr>
      </w:pPr>
      <w:r>
        <w:t>Income Support</w:t>
      </w:r>
    </w:p>
    <w:p w:rsidR="007457EA" w:rsidP="007457EA" w:rsidRDefault="007457EA" w14:paraId="732BF9EE" w14:textId="77777777">
      <w:pPr>
        <w:pStyle w:val="ListParagraph"/>
        <w:numPr>
          <w:ilvl w:val="0"/>
          <w:numId w:val="23"/>
        </w:numPr>
      </w:pPr>
      <w:r>
        <w:t>income-based Jobseekers Allowance</w:t>
      </w:r>
    </w:p>
    <w:p w:rsidR="007457EA" w:rsidP="007457EA" w:rsidRDefault="007457EA" w14:paraId="79201A61" w14:textId="77777777">
      <w:pPr>
        <w:pStyle w:val="ListParagraph"/>
        <w:numPr>
          <w:ilvl w:val="0"/>
          <w:numId w:val="23"/>
        </w:numPr>
      </w:pPr>
      <w:r>
        <w:t>income-related Employment and Support Allowance (ESA)</w:t>
      </w:r>
    </w:p>
    <w:p w:rsidR="007457EA" w:rsidP="007457EA" w:rsidRDefault="007457EA" w14:paraId="5FA0E7A8" w14:textId="77777777">
      <w:pPr>
        <w:pStyle w:val="ListParagraph"/>
        <w:numPr>
          <w:ilvl w:val="0"/>
          <w:numId w:val="23"/>
        </w:numPr>
      </w:pPr>
      <w:r>
        <w:t>support under part VI of the Immigration and Asylum Act 1999</w:t>
      </w:r>
    </w:p>
    <w:p w:rsidR="007457EA" w:rsidP="007457EA" w:rsidRDefault="007457EA" w14:paraId="3AE411F1" w14:textId="77777777">
      <w:pPr>
        <w:pStyle w:val="ListParagraph"/>
        <w:numPr>
          <w:ilvl w:val="0"/>
          <w:numId w:val="23"/>
        </w:numPr>
      </w:pPr>
      <w:r>
        <w:t>the guarantee element of State Pension Credit</w:t>
      </w:r>
    </w:p>
    <w:p w:rsidR="007457EA" w:rsidP="007457EA" w:rsidRDefault="007457EA" w14:paraId="5A911255" w14:textId="77777777">
      <w:pPr>
        <w:pStyle w:val="ListParagraph"/>
        <w:numPr>
          <w:ilvl w:val="0"/>
          <w:numId w:val="23"/>
        </w:numPr>
      </w:pPr>
      <w:r>
        <w:t>Child Tax Credit (provided they are not entitled to Working Tax Credit and have an annual gross income of no more than £16,190, as assessed by Her Majesty’s Revenue and Customs (HMRC))</w:t>
      </w:r>
    </w:p>
    <w:p w:rsidR="007457EA" w:rsidP="007457EA" w:rsidRDefault="007457EA" w14:paraId="0A79212C" w14:textId="77777777">
      <w:pPr>
        <w:pStyle w:val="ListParagraph"/>
        <w:numPr>
          <w:ilvl w:val="0"/>
          <w:numId w:val="23"/>
        </w:numPr>
      </w:pPr>
      <w:r>
        <w:t>Working Tax Credit run-on – paid for 4 weeks after someone stops qualifying for Working Tax Credit</w:t>
      </w:r>
    </w:p>
    <w:p w:rsidR="007457EA" w:rsidP="007457EA" w:rsidRDefault="007457EA" w14:paraId="63FA43BD" w14:textId="77777777">
      <w:r>
        <w:t>Universal Credit (UC) with net earnings not exceeding the equivalent of £7,400 for each year (after tax and not including any benefits they get)</w:t>
      </w:r>
    </w:p>
    <w:p w:rsidR="007457EA" w:rsidP="007457EA" w:rsidRDefault="007457EA" w14:paraId="130590B1" w14:textId="77777777">
      <w:r>
        <w:t>A student is only eligible to receive a free meal when they, or a responsible adult on their behalf, have made a successful application to the institution where they are enrolled.</w:t>
      </w:r>
    </w:p>
    <w:p w:rsidR="007457EA" w:rsidP="007457EA" w:rsidRDefault="007457EA" w14:paraId="578C8069" w14:textId="77777777">
      <w:r>
        <w:t>It is important that institutions ensure they understand that a parent or student must be in receipt of one of the qualifying benefits set out above to be eligible.</w:t>
      </w:r>
    </w:p>
    <w:p w:rsidR="007457EA" w:rsidP="007457EA" w:rsidRDefault="007457EA" w14:paraId="44271921" w14:textId="77777777">
      <w:r>
        <w:t>Working Tax Credit is not a qualifying benefit for free meals, and a parent or student in receipt of Working Tax Credits is not entitled to a free meal (this is a common question sent to ESFA). Qualifying benefits do include the Working Tax Credit run-on which is paid for 4 weeks after you stop qualifying for Working Tax Credit.</w:t>
      </w:r>
    </w:p>
    <w:p w:rsidR="007457EA" w:rsidP="007457EA" w:rsidRDefault="007457EA" w14:paraId="2AFBF0CA" w14:textId="77777777">
      <w:r>
        <w:t>From 1 April 2018, any student who is in receipt of, or has parents who are in receipt of, UC must have a net earned annual income of no more than £7,400 to be eligible for free meals.</w:t>
      </w:r>
    </w:p>
    <w:p w:rsidR="007457EA" w:rsidP="007457EA" w:rsidRDefault="007457EA" w14:paraId="1E513B25" w14:textId="610109C8">
      <w:r>
        <w:t xml:space="preserve">Students must also satisfy the residency criteria set out in </w:t>
      </w:r>
      <w:r w:rsidR="00E628C2">
        <w:t>the</w:t>
      </w:r>
      <w:r>
        <w:t> </w:t>
      </w:r>
      <w:hyperlink w:history="1" r:id="rId15">
        <w:r>
          <w:rPr>
            <w:rStyle w:val="Hyperlink"/>
            <w:rFonts w:cs="Arial"/>
            <w:color w:val="1D70B8"/>
          </w:rPr>
          <w:t>funding regulations guidance</w:t>
        </w:r>
      </w:hyperlink>
      <w:r>
        <w:t>.</w:t>
      </w:r>
    </w:p>
    <w:p w:rsidR="00D50E7E" w:rsidP="00410982" w:rsidRDefault="00D50E7E" w14:paraId="54A0515E" w14:textId="77777777">
      <w:pPr>
        <w:pStyle w:val="NormalWeb"/>
        <w:shd w:val="clear" w:color="auto" w:fill="FFFFFF"/>
        <w:spacing w:before="0" w:beforeAutospacing="0" w:after="240" w:afterAutospacing="0"/>
        <w:rPr>
          <w:rFonts w:ascii="Open Sans" w:hAnsi="Open Sans" w:cs="Open Sans"/>
          <w:color w:val="000000"/>
        </w:rPr>
      </w:pPr>
    </w:p>
    <w:sectPr w:rsidR="00D50E7E">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91568" w14:textId="77777777" w:rsidR="00513140" w:rsidRDefault="00513140" w:rsidP="0024526C">
      <w:pPr>
        <w:spacing w:after="0" w:line="240" w:lineRule="auto"/>
      </w:pPr>
      <w:r>
        <w:separator/>
      </w:r>
    </w:p>
  </w:endnote>
  <w:endnote w:type="continuationSeparator" w:id="0">
    <w:p w14:paraId="61E3AB2D" w14:textId="77777777" w:rsidR="00513140" w:rsidRDefault="00513140" w:rsidP="00245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altName w:val="FS Sophie Light"/>
    <w:panose1 w:val="020F0502020204030204"/>
    <w:charset w:val="00"/>
    <w:family w:val="swiss"/>
    <w:pitch w:val="variable"/>
    <w:sig w:usb0="E4002EFF" w:usb1="C2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F93D" w14:textId="7CC4EAF9" w:rsidR="0024526C" w:rsidRPr="005D1D97" w:rsidRDefault="005D1D97">
    <w:pPr>
      <w:pStyle w:val="Footer"/>
      <w:rPr>
        <w:sz w:val="16"/>
        <w:szCs w:val="16"/>
      </w:rPr>
    </w:pPr>
    <w:r w:rsidRPr="005D1D97">
      <w:rPr>
        <w:sz w:val="16"/>
        <w:szCs w:val="16"/>
      </w:rPr>
      <w:t xml:space="preserve">Guidance to Free School Meals </w:t>
    </w:r>
    <w:r w:rsidRPr="005D1D97">
      <w:rPr>
        <w:sz w:val="16"/>
        <w:szCs w:val="16"/>
      </w:rPr>
      <w:tab/>
      <w:t xml:space="preserve">Page </w:t>
    </w:r>
    <w:r w:rsidRPr="005D1D97">
      <w:rPr>
        <w:sz w:val="16"/>
        <w:szCs w:val="16"/>
      </w:rPr>
      <w:fldChar w:fldCharType="begin"/>
    </w:r>
    <w:r w:rsidRPr="005D1D97">
      <w:rPr>
        <w:sz w:val="16"/>
        <w:szCs w:val="16"/>
      </w:rPr>
      <w:instrText xml:space="preserve"> PAGE  \* Arabic  \* MERGEFORMAT </w:instrText>
    </w:r>
    <w:r w:rsidRPr="005D1D97">
      <w:rPr>
        <w:sz w:val="16"/>
        <w:szCs w:val="16"/>
      </w:rPr>
      <w:fldChar w:fldCharType="separate"/>
    </w:r>
    <w:r w:rsidRPr="005D1D97">
      <w:rPr>
        <w:noProof/>
        <w:sz w:val="16"/>
        <w:szCs w:val="16"/>
      </w:rPr>
      <w:t>1</w:t>
    </w:r>
    <w:r w:rsidRPr="005D1D97">
      <w:rPr>
        <w:sz w:val="16"/>
        <w:szCs w:val="16"/>
      </w:rPr>
      <w:fldChar w:fldCharType="end"/>
    </w:r>
    <w:r w:rsidRPr="005D1D97">
      <w:rPr>
        <w:sz w:val="16"/>
        <w:szCs w:val="16"/>
      </w:rPr>
      <w:t xml:space="preserve"> of </w:t>
    </w:r>
    <w:r w:rsidRPr="005D1D97">
      <w:rPr>
        <w:sz w:val="16"/>
        <w:szCs w:val="16"/>
      </w:rPr>
      <w:fldChar w:fldCharType="begin"/>
    </w:r>
    <w:r w:rsidRPr="005D1D97">
      <w:rPr>
        <w:sz w:val="16"/>
        <w:szCs w:val="16"/>
      </w:rPr>
      <w:instrText xml:space="preserve"> NUMPAGES  \* Arabic  \* MERGEFORMAT </w:instrText>
    </w:r>
    <w:r w:rsidRPr="005D1D97">
      <w:rPr>
        <w:sz w:val="16"/>
        <w:szCs w:val="16"/>
      </w:rPr>
      <w:fldChar w:fldCharType="separate"/>
    </w:r>
    <w:r w:rsidRPr="005D1D97">
      <w:rPr>
        <w:noProof/>
        <w:sz w:val="16"/>
        <w:szCs w:val="16"/>
      </w:rPr>
      <w:t>2</w:t>
    </w:r>
    <w:r w:rsidRPr="005D1D97">
      <w:rPr>
        <w:sz w:val="16"/>
        <w:szCs w:val="16"/>
      </w:rPr>
      <w:fldChar w:fldCharType="end"/>
    </w:r>
    <w:r w:rsidRPr="005D1D97">
      <w:rPr>
        <w:sz w:val="16"/>
        <w:szCs w:val="16"/>
      </w:rPr>
      <w:tab/>
    </w:r>
    <w:r w:rsidR="0028125E">
      <w:rPr>
        <w:sz w:val="16"/>
        <w:szCs w:val="16"/>
      </w:rPr>
      <w:t>November 2025</w:t>
    </w:r>
  </w:p>
  <w:p w14:paraId="3E54752E" w14:textId="73E9819F" w:rsidR="005D1D97" w:rsidRPr="005D1D97" w:rsidRDefault="005D1D97">
    <w:pPr>
      <w:pStyle w:val="Footer"/>
      <w:rPr>
        <w:sz w:val="16"/>
        <w:szCs w:val="16"/>
      </w:rPr>
    </w:pPr>
    <w:r w:rsidRPr="005D1D97">
      <w:rPr>
        <w:sz w:val="16"/>
        <w:szCs w:val="16"/>
      </w:rPr>
      <w:t>CS0603</w:t>
    </w:r>
    <w:r w:rsidRPr="005D1D97">
      <w:rPr>
        <w:sz w:val="16"/>
        <w:szCs w:val="16"/>
      </w:rPr>
      <w:tab/>
    </w:r>
    <w:r w:rsidRPr="005D1D97">
      <w:rPr>
        <w:sz w:val="16"/>
        <w:szCs w:val="16"/>
      </w:rPr>
      <w:tab/>
      <w:t xml:space="preserve">Issue No. </w:t>
    </w:r>
    <w:r w:rsidR="0028125E">
      <w:rPr>
        <w:sz w:val="16"/>
        <w:szCs w:val="16"/>
      </w:rPr>
      <w:t>2</w:t>
    </w:r>
    <w:r w:rsidRPr="005D1D97">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634D8" w14:textId="77777777" w:rsidR="00513140" w:rsidRDefault="00513140" w:rsidP="0024526C">
      <w:pPr>
        <w:spacing w:after="0" w:line="240" w:lineRule="auto"/>
      </w:pPr>
      <w:r>
        <w:separator/>
      </w:r>
    </w:p>
  </w:footnote>
  <w:footnote w:type="continuationSeparator" w:id="0">
    <w:p w14:paraId="3AB531A8" w14:textId="77777777" w:rsidR="00513140" w:rsidRDefault="00513140" w:rsidP="00245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1C2"/>
    <w:multiLevelType w:val="hybridMultilevel"/>
    <w:tmpl w:val="7F92A47C"/>
    <w:lvl w:ilvl="0" w:tplc="3F2870DE">
      <w:start w:val="512"/>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7382C78"/>
    <w:multiLevelType w:val="multilevel"/>
    <w:tmpl w:val="71F2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D77DB"/>
    <w:multiLevelType w:val="multilevel"/>
    <w:tmpl w:val="C658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162AFD"/>
    <w:multiLevelType w:val="hybridMultilevel"/>
    <w:tmpl w:val="FD9002EA"/>
    <w:lvl w:ilvl="0" w:tplc="8480CA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B5320"/>
    <w:multiLevelType w:val="multilevel"/>
    <w:tmpl w:val="FB28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62EE8"/>
    <w:multiLevelType w:val="multilevel"/>
    <w:tmpl w:val="FB28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00112"/>
    <w:multiLevelType w:val="multilevel"/>
    <w:tmpl w:val="67B8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94914"/>
    <w:multiLevelType w:val="multilevel"/>
    <w:tmpl w:val="FB28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94785"/>
    <w:multiLevelType w:val="multilevel"/>
    <w:tmpl w:val="FB28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65604"/>
    <w:multiLevelType w:val="hybridMultilevel"/>
    <w:tmpl w:val="DBB65196"/>
    <w:lvl w:ilvl="0" w:tplc="B610FF18">
      <w:numFmt w:val="bullet"/>
      <w:lvlText w:val="•"/>
      <w:lvlJc w:val="left"/>
      <w:pPr>
        <w:ind w:left="714" w:hanging="43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0AC742D"/>
    <w:multiLevelType w:val="multilevel"/>
    <w:tmpl w:val="683E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34416"/>
    <w:multiLevelType w:val="hybridMultilevel"/>
    <w:tmpl w:val="096E3BB6"/>
    <w:lvl w:ilvl="0" w:tplc="1DC2FB22">
      <w:numFmt w:val="bullet"/>
      <w:lvlText w:val="•"/>
      <w:lvlJc w:val="left"/>
      <w:pPr>
        <w:ind w:left="714" w:hanging="43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45A45BE9"/>
    <w:multiLevelType w:val="multilevel"/>
    <w:tmpl w:val="8274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8C6D4F"/>
    <w:multiLevelType w:val="hybridMultilevel"/>
    <w:tmpl w:val="741AA99A"/>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497F3E95"/>
    <w:multiLevelType w:val="hybridMultilevel"/>
    <w:tmpl w:val="281C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B30EBE"/>
    <w:multiLevelType w:val="hybridMultilevel"/>
    <w:tmpl w:val="732E0B50"/>
    <w:lvl w:ilvl="0" w:tplc="08090001">
      <w:start w:val="1"/>
      <w:numFmt w:val="bullet"/>
      <w:lvlText w:val=""/>
      <w:lvlJc w:val="left"/>
      <w:pPr>
        <w:ind w:left="1789" w:hanging="360"/>
      </w:pPr>
      <w:rPr>
        <w:rFonts w:ascii="Symbol" w:hAnsi="Symbol" w:hint="default"/>
      </w:rPr>
    </w:lvl>
    <w:lvl w:ilvl="1" w:tplc="08090003">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6" w15:restartNumberingAfterBreak="0">
    <w:nsid w:val="517C51D5"/>
    <w:multiLevelType w:val="hybridMultilevel"/>
    <w:tmpl w:val="4150EE2C"/>
    <w:lvl w:ilvl="0" w:tplc="4DC86BFA">
      <w:start w:val="1"/>
      <w:numFmt w:val="bullet"/>
      <w:lvlText w:val=""/>
      <w:lvlJc w:val="left"/>
      <w:pPr>
        <w:tabs>
          <w:tab w:val="num" w:pos="340"/>
        </w:tabs>
        <w:ind w:left="340" w:hanging="22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287F65"/>
    <w:multiLevelType w:val="hybridMultilevel"/>
    <w:tmpl w:val="3D8442C0"/>
    <w:lvl w:ilvl="0" w:tplc="8480CA4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58060C4"/>
    <w:multiLevelType w:val="multilevel"/>
    <w:tmpl w:val="2FFC1F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89235A"/>
    <w:multiLevelType w:val="hybridMultilevel"/>
    <w:tmpl w:val="BD560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90021D"/>
    <w:multiLevelType w:val="hybridMultilevel"/>
    <w:tmpl w:val="9FB8FB1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71D83E14"/>
    <w:multiLevelType w:val="multilevel"/>
    <w:tmpl w:val="9384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A46CAF"/>
    <w:multiLevelType w:val="multilevel"/>
    <w:tmpl w:val="7212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9456A3"/>
    <w:multiLevelType w:val="hybridMultilevel"/>
    <w:tmpl w:val="FEDAA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EF4ED9"/>
    <w:multiLevelType w:val="multilevel"/>
    <w:tmpl w:val="3430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1815F5"/>
    <w:multiLevelType w:val="hybridMultilevel"/>
    <w:tmpl w:val="3C54F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BB7175"/>
    <w:multiLevelType w:val="multilevel"/>
    <w:tmpl w:val="FB28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401942">
    <w:abstractNumId w:val="1"/>
  </w:num>
  <w:num w:numId="2" w16cid:durableId="1627812934">
    <w:abstractNumId w:val="24"/>
  </w:num>
  <w:num w:numId="3" w16cid:durableId="1792243079">
    <w:abstractNumId w:val="22"/>
  </w:num>
  <w:num w:numId="4" w16cid:durableId="2138837478">
    <w:abstractNumId w:val="6"/>
  </w:num>
  <w:num w:numId="5" w16cid:durableId="1225486513">
    <w:abstractNumId w:val="10"/>
  </w:num>
  <w:num w:numId="6" w16cid:durableId="1994260882">
    <w:abstractNumId w:val="16"/>
  </w:num>
  <w:num w:numId="7" w16cid:durableId="1239288533">
    <w:abstractNumId w:val="14"/>
  </w:num>
  <w:num w:numId="8" w16cid:durableId="1171139512">
    <w:abstractNumId w:val="23"/>
  </w:num>
  <w:num w:numId="9" w16cid:durableId="1948807396">
    <w:abstractNumId w:val="0"/>
  </w:num>
  <w:num w:numId="10" w16cid:durableId="1637299234">
    <w:abstractNumId w:val="13"/>
  </w:num>
  <w:num w:numId="11" w16cid:durableId="79445798">
    <w:abstractNumId w:val="9"/>
  </w:num>
  <w:num w:numId="12" w16cid:durableId="2068986626">
    <w:abstractNumId w:val="19"/>
  </w:num>
  <w:num w:numId="13" w16cid:durableId="1501501252">
    <w:abstractNumId w:val="3"/>
  </w:num>
  <w:num w:numId="14" w16cid:durableId="1264069079">
    <w:abstractNumId w:val="8"/>
  </w:num>
  <w:num w:numId="15" w16cid:durableId="1932464107">
    <w:abstractNumId w:val="17"/>
  </w:num>
  <w:num w:numId="16" w16cid:durableId="700977062">
    <w:abstractNumId w:val="26"/>
  </w:num>
  <w:num w:numId="17" w16cid:durableId="1798331622">
    <w:abstractNumId w:val="7"/>
  </w:num>
  <w:num w:numId="18" w16cid:durableId="662777762">
    <w:abstractNumId w:val="18"/>
  </w:num>
  <w:num w:numId="19" w16cid:durableId="507598625">
    <w:abstractNumId w:val="12"/>
  </w:num>
  <w:num w:numId="20" w16cid:durableId="335963306">
    <w:abstractNumId w:val="4"/>
  </w:num>
  <w:num w:numId="21" w16cid:durableId="795294211">
    <w:abstractNumId w:val="21"/>
  </w:num>
  <w:num w:numId="22" w16cid:durableId="922178636">
    <w:abstractNumId w:val="2"/>
  </w:num>
  <w:num w:numId="23" w16cid:durableId="1988893968">
    <w:abstractNumId w:val="5"/>
  </w:num>
  <w:num w:numId="24" w16cid:durableId="2072657398">
    <w:abstractNumId w:val="15"/>
  </w:num>
  <w:num w:numId="25" w16cid:durableId="666174456">
    <w:abstractNumId w:val="25"/>
  </w:num>
  <w:num w:numId="26" w16cid:durableId="495145067">
    <w:abstractNumId w:val="20"/>
  </w:num>
  <w:num w:numId="27" w16cid:durableId="14699332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68"/>
    <w:rsid w:val="0000219C"/>
    <w:rsid w:val="0001607D"/>
    <w:rsid w:val="00021BBD"/>
    <w:rsid w:val="0003221F"/>
    <w:rsid w:val="00107F06"/>
    <w:rsid w:val="00182CFC"/>
    <w:rsid w:val="001D7866"/>
    <w:rsid w:val="00203019"/>
    <w:rsid w:val="00243637"/>
    <w:rsid w:val="0024526C"/>
    <w:rsid w:val="0028125E"/>
    <w:rsid w:val="002B1CBE"/>
    <w:rsid w:val="00313932"/>
    <w:rsid w:val="00343214"/>
    <w:rsid w:val="00410982"/>
    <w:rsid w:val="0042378E"/>
    <w:rsid w:val="0042394E"/>
    <w:rsid w:val="00436D3C"/>
    <w:rsid w:val="00477649"/>
    <w:rsid w:val="004C55E5"/>
    <w:rsid w:val="004D6807"/>
    <w:rsid w:val="00513140"/>
    <w:rsid w:val="00514E80"/>
    <w:rsid w:val="005C4847"/>
    <w:rsid w:val="005D1D97"/>
    <w:rsid w:val="006459A4"/>
    <w:rsid w:val="00653E3B"/>
    <w:rsid w:val="00654927"/>
    <w:rsid w:val="006B2D5B"/>
    <w:rsid w:val="006F7A60"/>
    <w:rsid w:val="00723E77"/>
    <w:rsid w:val="0073563E"/>
    <w:rsid w:val="0074426A"/>
    <w:rsid w:val="007457EA"/>
    <w:rsid w:val="007A093A"/>
    <w:rsid w:val="007B6947"/>
    <w:rsid w:val="007D3468"/>
    <w:rsid w:val="007E792D"/>
    <w:rsid w:val="00816A8C"/>
    <w:rsid w:val="0086117D"/>
    <w:rsid w:val="008965EB"/>
    <w:rsid w:val="008F18C8"/>
    <w:rsid w:val="00992334"/>
    <w:rsid w:val="00A9433B"/>
    <w:rsid w:val="00AE6DCF"/>
    <w:rsid w:val="00B412F3"/>
    <w:rsid w:val="00B53493"/>
    <w:rsid w:val="00B80A48"/>
    <w:rsid w:val="00B94C18"/>
    <w:rsid w:val="00BA719E"/>
    <w:rsid w:val="00BD00BF"/>
    <w:rsid w:val="00C05B02"/>
    <w:rsid w:val="00C27A40"/>
    <w:rsid w:val="00C4443E"/>
    <w:rsid w:val="00D13330"/>
    <w:rsid w:val="00D50E7E"/>
    <w:rsid w:val="00DF1A5D"/>
    <w:rsid w:val="00E42980"/>
    <w:rsid w:val="00E4324F"/>
    <w:rsid w:val="00E628C2"/>
    <w:rsid w:val="00F024D0"/>
    <w:rsid w:val="00F03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A467E"/>
  <w15:chartTrackingRefBased/>
  <w15:docId w15:val="{049F6275-F95A-4D41-89AB-9FB3714F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493"/>
    <w:rPr>
      <w:rFonts w:ascii="Arial" w:hAnsi="Arial"/>
      <w:sz w:val="24"/>
    </w:rPr>
  </w:style>
  <w:style w:type="paragraph" w:styleId="Heading1">
    <w:name w:val="heading 1"/>
    <w:basedOn w:val="Normal"/>
    <w:next w:val="Normal"/>
    <w:link w:val="Heading1Char"/>
    <w:uiPriority w:val="9"/>
    <w:qFormat/>
    <w:rsid w:val="006F7A60"/>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BD00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346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semiHidden/>
    <w:unhideWhenUsed/>
    <w:qFormat/>
    <w:rsid w:val="007457E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3468"/>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7D3468"/>
    <w:rPr>
      <w:b/>
      <w:bCs/>
    </w:rPr>
  </w:style>
  <w:style w:type="paragraph" w:styleId="NormalWeb">
    <w:name w:val="Normal (Web)"/>
    <w:basedOn w:val="Normal"/>
    <w:uiPriority w:val="99"/>
    <w:unhideWhenUsed/>
    <w:rsid w:val="007D3468"/>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styleId="Header">
    <w:name w:val="header"/>
    <w:basedOn w:val="Normal"/>
    <w:link w:val="HeaderChar"/>
    <w:uiPriority w:val="99"/>
    <w:unhideWhenUsed/>
    <w:rsid w:val="0086117D"/>
    <w:pPr>
      <w:tabs>
        <w:tab w:val="center" w:pos="4513"/>
        <w:tab w:val="right" w:pos="9026"/>
      </w:tabs>
      <w:spacing w:after="0" w:line="240" w:lineRule="auto"/>
    </w:pPr>
    <w:rPr>
      <w:rFonts w:eastAsia="Times New Roman" w:cs="Times New Roman"/>
      <w:kern w:val="0"/>
      <w:szCs w:val="20"/>
      <w:lang w:eastAsia="en-GB"/>
      <w14:ligatures w14:val="none"/>
    </w:rPr>
  </w:style>
  <w:style w:type="character" w:customStyle="1" w:styleId="HeaderChar">
    <w:name w:val="Header Char"/>
    <w:basedOn w:val="DefaultParagraphFont"/>
    <w:link w:val="Header"/>
    <w:uiPriority w:val="99"/>
    <w:rsid w:val="0086117D"/>
    <w:rPr>
      <w:rFonts w:ascii="Arial" w:eastAsia="Times New Roman" w:hAnsi="Arial" w:cs="Times New Roman"/>
      <w:kern w:val="0"/>
      <w:sz w:val="24"/>
      <w:szCs w:val="20"/>
      <w:lang w:eastAsia="en-GB"/>
      <w14:ligatures w14:val="none"/>
    </w:rPr>
  </w:style>
  <w:style w:type="paragraph" w:styleId="Title">
    <w:name w:val="Title"/>
    <w:basedOn w:val="Normal"/>
    <w:link w:val="TitleChar"/>
    <w:qFormat/>
    <w:rsid w:val="0086117D"/>
    <w:pPr>
      <w:spacing w:after="0" w:line="240" w:lineRule="auto"/>
    </w:pPr>
    <w:rPr>
      <w:rFonts w:eastAsia="Times New Roman" w:cs="Times New Roman"/>
      <w:b/>
      <w:kern w:val="0"/>
      <w:sz w:val="28"/>
      <w:szCs w:val="20"/>
      <w:u w:val="single"/>
      <w:lang w:eastAsia="en-GB"/>
      <w14:ligatures w14:val="none"/>
    </w:rPr>
  </w:style>
  <w:style w:type="character" w:customStyle="1" w:styleId="TitleChar">
    <w:name w:val="Title Char"/>
    <w:basedOn w:val="DefaultParagraphFont"/>
    <w:link w:val="Title"/>
    <w:rsid w:val="0086117D"/>
    <w:rPr>
      <w:rFonts w:ascii="Arial" w:eastAsia="Times New Roman" w:hAnsi="Arial" w:cs="Times New Roman"/>
      <w:b/>
      <w:kern w:val="0"/>
      <w:sz w:val="28"/>
      <w:szCs w:val="20"/>
      <w:u w:val="single"/>
      <w:lang w:eastAsia="en-GB"/>
      <w14:ligatures w14:val="none"/>
    </w:rPr>
  </w:style>
  <w:style w:type="character" w:customStyle="1" w:styleId="cf01">
    <w:name w:val="cf01"/>
    <w:basedOn w:val="DefaultParagraphFont"/>
    <w:rsid w:val="0086117D"/>
    <w:rPr>
      <w:rFonts w:ascii="Segoe UI" w:hAnsi="Segoe UI" w:cs="Segoe UI" w:hint="default"/>
      <w:sz w:val="18"/>
      <w:szCs w:val="18"/>
    </w:rPr>
  </w:style>
  <w:style w:type="paragraph" w:styleId="ListParagraph">
    <w:name w:val="List Paragraph"/>
    <w:basedOn w:val="Normal"/>
    <w:uiPriority w:val="34"/>
    <w:qFormat/>
    <w:rsid w:val="0086117D"/>
    <w:pPr>
      <w:ind w:left="720"/>
      <w:contextualSpacing/>
    </w:pPr>
  </w:style>
  <w:style w:type="character" w:customStyle="1" w:styleId="Heading1Char">
    <w:name w:val="Heading 1 Char"/>
    <w:basedOn w:val="DefaultParagraphFont"/>
    <w:link w:val="Heading1"/>
    <w:uiPriority w:val="9"/>
    <w:rsid w:val="006F7A6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BD00B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53493"/>
    <w:rPr>
      <w:color w:val="0000FF"/>
      <w:u w:val="single"/>
    </w:rPr>
  </w:style>
  <w:style w:type="character" w:styleId="UnresolvedMention">
    <w:name w:val="Unresolved Mention"/>
    <w:basedOn w:val="DefaultParagraphFont"/>
    <w:uiPriority w:val="99"/>
    <w:semiHidden/>
    <w:unhideWhenUsed/>
    <w:rsid w:val="00410982"/>
    <w:rPr>
      <w:color w:val="605E5C"/>
      <w:shd w:val="clear" w:color="auto" w:fill="E1DFDD"/>
    </w:rPr>
  </w:style>
  <w:style w:type="character" w:styleId="FollowedHyperlink">
    <w:name w:val="FollowedHyperlink"/>
    <w:basedOn w:val="DefaultParagraphFont"/>
    <w:uiPriority w:val="99"/>
    <w:semiHidden/>
    <w:unhideWhenUsed/>
    <w:rsid w:val="00D50E7E"/>
    <w:rPr>
      <w:color w:val="954F72" w:themeColor="followedHyperlink"/>
      <w:u w:val="single"/>
    </w:rPr>
  </w:style>
  <w:style w:type="character" w:customStyle="1" w:styleId="Heading4Char">
    <w:name w:val="Heading 4 Char"/>
    <w:basedOn w:val="DefaultParagraphFont"/>
    <w:link w:val="Heading4"/>
    <w:uiPriority w:val="9"/>
    <w:semiHidden/>
    <w:rsid w:val="007457EA"/>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45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26C"/>
    <w:rPr>
      <w:rFonts w:ascii="Arial" w:hAnsi="Arial"/>
      <w:sz w:val="24"/>
    </w:rPr>
  </w:style>
  <w:style w:type="character" w:styleId="CommentReference">
    <w:name w:val="annotation reference"/>
    <w:basedOn w:val="DefaultParagraphFont"/>
    <w:uiPriority w:val="99"/>
    <w:semiHidden/>
    <w:unhideWhenUsed/>
    <w:rsid w:val="00203019"/>
    <w:rPr>
      <w:sz w:val="16"/>
      <w:szCs w:val="16"/>
    </w:rPr>
  </w:style>
  <w:style w:type="paragraph" w:styleId="CommentText">
    <w:name w:val="annotation text"/>
    <w:basedOn w:val="Normal"/>
    <w:link w:val="CommentTextChar"/>
    <w:uiPriority w:val="99"/>
    <w:unhideWhenUsed/>
    <w:rsid w:val="00203019"/>
    <w:pPr>
      <w:spacing w:line="240" w:lineRule="auto"/>
    </w:pPr>
    <w:rPr>
      <w:sz w:val="20"/>
      <w:szCs w:val="20"/>
    </w:rPr>
  </w:style>
  <w:style w:type="character" w:customStyle="1" w:styleId="CommentTextChar">
    <w:name w:val="Comment Text Char"/>
    <w:basedOn w:val="DefaultParagraphFont"/>
    <w:link w:val="CommentText"/>
    <w:uiPriority w:val="99"/>
    <w:rsid w:val="0020301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03019"/>
    <w:rPr>
      <w:b/>
      <w:bCs/>
    </w:rPr>
  </w:style>
  <w:style w:type="character" w:customStyle="1" w:styleId="CommentSubjectChar">
    <w:name w:val="Comment Subject Char"/>
    <w:basedOn w:val="CommentTextChar"/>
    <w:link w:val="CommentSubject"/>
    <w:uiPriority w:val="99"/>
    <w:semiHidden/>
    <w:rsid w:val="0020301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3171">
      <w:bodyDiv w:val="1"/>
      <w:marLeft w:val="0"/>
      <w:marRight w:val="0"/>
      <w:marTop w:val="0"/>
      <w:marBottom w:val="0"/>
      <w:divBdr>
        <w:top w:val="none" w:sz="0" w:space="0" w:color="auto"/>
        <w:left w:val="none" w:sz="0" w:space="0" w:color="auto"/>
        <w:bottom w:val="none" w:sz="0" w:space="0" w:color="auto"/>
        <w:right w:val="none" w:sz="0" w:space="0" w:color="auto"/>
      </w:divBdr>
      <w:divsChild>
        <w:div w:id="651642047">
          <w:marLeft w:val="0"/>
          <w:marRight w:val="600"/>
          <w:marTop w:val="240"/>
          <w:marBottom w:val="240"/>
          <w:divBdr>
            <w:top w:val="none" w:sz="0" w:space="0" w:color="auto"/>
            <w:left w:val="none" w:sz="0" w:space="0" w:color="auto"/>
            <w:bottom w:val="none" w:sz="0" w:space="0" w:color="auto"/>
            <w:right w:val="none" w:sz="0" w:space="0" w:color="auto"/>
          </w:divBdr>
        </w:div>
      </w:divsChild>
    </w:div>
    <w:div w:id="251427982">
      <w:bodyDiv w:val="1"/>
      <w:marLeft w:val="0"/>
      <w:marRight w:val="0"/>
      <w:marTop w:val="0"/>
      <w:marBottom w:val="0"/>
      <w:divBdr>
        <w:top w:val="none" w:sz="0" w:space="0" w:color="auto"/>
        <w:left w:val="none" w:sz="0" w:space="0" w:color="auto"/>
        <w:bottom w:val="none" w:sz="0" w:space="0" w:color="auto"/>
        <w:right w:val="none" w:sz="0" w:space="0" w:color="auto"/>
      </w:divBdr>
    </w:div>
    <w:div w:id="476924282">
      <w:bodyDiv w:val="1"/>
      <w:marLeft w:val="0"/>
      <w:marRight w:val="0"/>
      <w:marTop w:val="0"/>
      <w:marBottom w:val="0"/>
      <w:divBdr>
        <w:top w:val="none" w:sz="0" w:space="0" w:color="auto"/>
        <w:left w:val="none" w:sz="0" w:space="0" w:color="auto"/>
        <w:bottom w:val="none" w:sz="0" w:space="0" w:color="auto"/>
        <w:right w:val="none" w:sz="0" w:space="0" w:color="auto"/>
      </w:divBdr>
    </w:div>
    <w:div w:id="770320028">
      <w:bodyDiv w:val="1"/>
      <w:marLeft w:val="0"/>
      <w:marRight w:val="0"/>
      <w:marTop w:val="0"/>
      <w:marBottom w:val="0"/>
      <w:divBdr>
        <w:top w:val="none" w:sz="0" w:space="0" w:color="auto"/>
        <w:left w:val="none" w:sz="0" w:space="0" w:color="auto"/>
        <w:bottom w:val="none" w:sz="0" w:space="0" w:color="auto"/>
        <w:right w:val="none" w:sz="0" w:space="0" w:color="auto"/>
      </w:divBdr>
    </w:div>
    <w:div w:id="911428550">
      <w:bodyDiv w:val="1"/>
      <w:marLeft w:val="0"/>
      <w:marRight w:val="0"/>
      <w:marTop w:val="0"/>
      <w:marBottom w:val="0"/>
      <w:divBdr>
        <w:top w:val="none" w:sz="0" w:space="0" w:color="auto"/>
        <w:left w:val="none" w:sz="0" w:space="0" w:color="auto"/>
        <w:bottom w:val="none" w:sz="0" w:space="0" w:color="auto"/>
        <w:right w:val="none" w:sz="0" w:space="0" w:color="auto"/>
      </w:divBdr>
    </w:div>
    <w:div w:id="1256204455">
      <w:bodyDiv w:val="1"/>
      <w:marLeft w:val="0"/>
      <w:marRight w:val="0"/>
      <w:marTop w:val="0"/>
      <w:marBottom w:val="0"/>
      <w:divBdr>
        <w:top w:val="none" w:sz="0" w:space="0" w:color="auto"/>
        <w:left w:val="none" w:sz="0" w:space="0" w:color="auto"/>
        <w:bottom w:val="none" w:sz="0" w:space="0" w:color="auto"/>
        <w:right w:val="none" w:sz="0" w:space="0" w:color="auto"/>
      </w:divBdr>
    </w:div>
    <w:div w:id="1833134992">
      <w:bodyDiv w:val="1"/>
      <w:marLeft w:val="0"/>
      <w:marRight w:val="0"/>
      <w:marTop w:val="0"/>
      <w:marBottom w:val="0"/>
      <w:divBdr>
        <w:top w:val="none" w:sz="0" w:space="0" w:color="auto"/>
        <w:left w:val="none" w:sz="0" w:space="0" w:color="auto"/>
        <w:bottom w:val="none" w:sz="0" w:space="0" w:color="auto"/>
        <w:right w:val="none" w:sz="0" w:space="0" w:color="auto"/>
      </w:divBdr>
    </w:div>
    <w:div w:id="197324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5fdad5965ca2f00117da947/Free_school_meal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advice-funding-regulations-for-post-16-provis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free-meals-in-further-education-funded-institutions-guide-2023-to-2024-academic-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D1A4FFBB6BEB40A1E073915355798F" ma:contentTypeVersion="17" ma:contentTypeDescription="Create a new document." ma:contentTypeScope="" ma:versionID="e92423d1636b992ea6024368cff9d344">
  <xsd:schema xmlns:xsd="http://www.w3.org/2001/XMLSchema" xmlns:xs="http://www.w3.org/2001/XMLSchema" xmlns:p="http://schemas.microsoft.com/office/2006/metadata/properties" xmlns:ns3="f5c28432-143a-4b35-b0e6-bd5aa64b5804" xmlns:ns4="bf2d47ba-106b-4b46-b864-5f8c63b23b9f" targetNamespace="http://schemas.microsoft.com/office/2006/metadata/properties" ma:root="true" ma:fieldsID="81ea00acf3ff2f3133bba64880f8fa7b" ns3:_="" ns4:_="">
    <xsd:import namespace="f5c28432-143a-4b35-b0e6-bd5aa64b5804"/>
    <xsd:import namespace="bf2d47ba-106b-4b46-b864-5f8c63b23b9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28432-143a-4b35-b0e6-bd5aa64b5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2d47ba-106b-4b46-b864-5f8c63b23b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5c28432-143a-4b35-b0e6-bd5aa64b58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0D14F-67CA-4AC6-94B2-7288D4FC0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28432-143a-4b35-b0e6-bd5aa64b5804"/>
    <ds:schemaRef ds:uri="bf2d47ba-106b-4b46-b864-5f8c63b23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4A224E-87BA-47EF-B91C-A533801A0934}">
  <ds:schemaRefs>
    <ds:schemaRef ds:uri="http://schemas.microsoft.com/sharepoint/v3/contenttype/forms"/>
  </ds:schemaRefs>
</ds:datastoreItem>
</file>

<file path=customXml/itemProps3.xml><?xml version="1.0" encoding="utf-8"?>
<ds:datastoreItem xmlns:ds="http://schemas.openxmlformats.org/officeDocument/2006/customXml" ds:itemID="{8B01A20F-C7F6-499C-BB4C-67C9D0ABD3E7}">
  <ds:schemaRefs>
    <ds:schemaRef ds:uri="http://schemas.microsoft.com/office/2006/metadata/properties"/>
    <ds:schemaRef ds:uri="http://schemas.microsoft.com/office/infopath/2007/PartnerControls"/>
    <ds:schemaRef ds:uri="f5c28432-143a-4b35-b0e6-bd5aa64b5804"/>
  </ds:schemaRefs>
</ds:datastoreItem>
</file>

<file path=customXml/itemProps4.xml><?xml version="1.0" encoding="utf-8"?>
<ds:datastoreItem xmlns:ds="http://schemas.openxmlformats.org/officeDocument/2006/customXml" ds:itemID="{5C27E198-D604-4144-BF65-4A4067FBD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2041</Words>
  <Characters>11373</Characters>
  <Application>Microsoft Office Word</Application>
  <DocSecurity>0</DocSecurity>
  <Lines>277</Lines>
  <Paragraphs>141</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cs0603-hertfordshire-free-school-meals-guidance</dc:title>
  <dc:subject>
  </dc:subject>
  <dc:creator>Silvia Hundal</dc:creator>
  <cp:keywords>
  </cp:keywords>
  <dc:description>
  </dc:description>
  <cp:lastModifiedBy>philip.fry@hertsforlearning.co.uk</cp:lastModifiedBy>
  <cp:revision>2</cp:revision>
  <dcterms:created xsi:type="dcterms:W3CDTF">2025-11-14T14:05:00Z</dcterms:created>
  <dcterms:modified xsi:type="dcterms:W3CDTF">2025-11-18T11:45:52Z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0x0101004AD1A4FFBB6BEB40A1E073915355798F</vt:lpwstr>
  </property>
</Properties>
</file>